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34" w:rsidRDefault="00243E74" w:rsidP="00243E74">
      <w:pPr>
        <w:jc w:val="center"/>
        <w:rPr>
          <w:b/>
        </w:rPr>
      </w:pPr>
      <w:r>
        <w:rPr>
          <w:b/>
        </w:rPr>
        <w:t>NCLEX Pass</w:t>
      </w:r>
      <w:r w:rsidRPr="00243E74">
        <w:rPr>
          <w:b/>
        </w:rPr>
        <w:t xml:space="preserve"> Rates ASN Program</w:t>
      </w:r>
    </w:p>
    <w:tbl>
      <w:tblPr>
        <w:tblpPr w:leftFromText="180" w:rightFromText="180" w:vertAnchor="page" w:horzAnchor="margin" w:tblpXSpec="center" w:tblpY="2086"/>
        <w:tblW w:w="107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1808"/>
        <w:gridCol w:w="1809"/>
        <w:gridCol w:w="1809"/>
        <w:gridCol w:w="1511"/>
        <w:gridCol w:w="1715"/>
      </w:tblGrid>
      <w:tr w:rsidR="00243E74" w:rsidRPr="00243E74" w:rsidTr="00243E74">
        <w:trPr>
          <w:trHeight w:val="45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rebuchet MS" w:eastAsia="Arial Unicode MS" w:hAnsi="Arial Unicode MS" w:cs="Arial Unicode MS"/>
                <w:color w:val="000000"/>
                <w:u w:color="000000"/>
                <w:bdr w:val="nil"/>
              </w:rPr>
            </w:pPr>
            <w:r w:rsidRPr="00243E74">
              <w:rPr>
                <w:rFonts w:ascii="Times New Roman Bold" w:eastAsia="Arial Unicode MS" w:hAnsi="Arial Unicode MS" w:cs="Arial Unicode MS"/>
                <w:color w:val="000000"/>
                <w:u w:color="000000"/>
                <w:bdr w:val="nil"/>
              </w:rPr>
              <w:t>2011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  <w:color w:val="000000"/>
                <w:u w:color="000000"/>
                <w:bdr w:val="nil"/>
              </w:rPr>
            </w:pPr>
            <w:r w:rsidRPr="00243E74">
              <w:rPr>
                <w:rFonts w:ascii="Times New Roman Bold" w:eastAsia="Arial Unicode MS" w:hAnsi="Arial Unicode MS" w:cs="Arial Unicode MS"/>
                <w:color w:val="000000"/>
                <w:u w:color="000000"/>
                <w:bdr w:val="nil"/>
              </w:rPr>
              <w:t>2012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 Bold" w:eastAsia="Arial Unicode MS" w:hAnsi="Arial Unicode MS" w:cs="Arial Unicode MS"/>
                <w:color w:val="000000"/>
                <w:u w:color="000000"/>
                <w:bdr w:val="nil"/>
              </w:rPr>
            </w:pPr>
            <w:r w:rsidRPr="00243E74">
              <w:rPr>
                <w:rFonts w:ascii="Times New Roman Bold" w:eastAsia="Arial Unicode MS" w:hAnsi="Arial Unicode MS" w:cs="Arial Unicode MS"/>
                <w:color w:val="000000"/>
                <w:u w:color="000000"/>
                <w:bdr w:val="nil"/>
              </w:rPr>
              <w:t>2013</w:t>
            </w:r>
          </w:p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rebuchet MS" w:eastAsia="Arial Unicode MS" w:hAnsi="Arial Unicode MS" w:cs="Arial Unicode MS"/>
                <w:color w:val="000000"/>
                <w:u w:color="000000"/>
                <w:bdr w:val="nil"/>
              </w:rPr>
            </w:pPr>
            <w:r w:rsidRPr="00243E74">
              <w:rPr>
                <w:rFonts w:ascii="Times New Roman Bold" w:eastAsia="Arial Unicode MS" w:hAnsi="Arial Unicode MS" w:cs="Arial Unicode MS"/>
                <w:color w:val="000000"/>
                <w:u w:color="000000"/>
                <w:bdr w:val="nil"/>
              </w:rPr>
              <w:t>(Blueprint change)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rebuchet MS" w:eastAsia="Arial Unicode MS" w:hAnsi="Arial Unicode MS" w:cs="Arial Unicode MS"/>
                <w:color w:val="000000"/>
                <w:u w:color="000000"/>
                <w:bdr w:val="nil"/>
              </w:rPr>
            </w:pPr>
            <w:r w:rsidRPr="00243E74">
              <w:rPr>
                <w:rFonts w:ascii="Times New Roman Bold" w:eastAsia="Arial Unicode MS" w:hAnsi="Arial Unicode MS" w:cs="Arial Unicode MS"/>
                <w:color w:val="000000"/>
                <w:u w:color="000000"/>
                <w:bdr w:val="nil"/>
              </w:rPr>
              <w:t>2014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rebuchet MS" w:eastAsia="Arial Unicode MS" w:hAnsi="Arial Unicode MS" w:cs="Arial Unicode MS"/>
                <w:color w:val="000000"/>
                <w:u w:color="000000"/>
                <w:bdr w:val="nil"/>
              </w:rPr>
            </w:pPr>
            <w:r w:rsidRPr="00243E74">
              <w:rPr>
                <w:rFonts w:ascii="Times New Roman Bold" w:eastAsia="Arial Unicode MS" w:hAnsi="Arial Unicode MS" w:cs="Arial Unicode MS"/>
                <w:color w:val="000000"/>
                <w:u w:color="000000"/>
                <w:bdr w:val="nil"/>
              </w:rPr>
              <w:t>2015</w:t>
            </w:r>
          </w:p>
        </w:tc>
      </w:tr>
      <w:tr w:rsidR="00243E74" w:rsidRPr="00243E74" w:rsidTr="00243E74">
        <w:trPr>
          <w:trHeight w:val="573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243E74">
              <w:rPr>
                <w:rFonts w:ascii="Times New Roman Bold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NCLEX National </w:t>
            </w:r>
            <w:r w:rsidRPr="00243E74">
              <w:rPr>
                <w:rFonts w:ascii="Times New Roman Bold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</w:rPr>
              <w:t>–</w:t>
            </w:r>
            <w:r w:rsidRPr="00243E74">
              <w:rPr>
                <w:rFonts w:ascii="Times New Roman Bold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Total 1</w:t>
            </w:r>
            <w:r w:rsidRPr="00243E74">
              <w:rPr>
                <w:rFonts w:ascii="Times New Roman Bold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vertAlign w:val="superscript"/>
              </w:rPr>
              <w:t>st</w:t>
            </w:r>
            <w:r w:rsidRPr="00243E74">
              <w:rPr>
                <w:rFonts w:ascii="Times New Roman Bold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time, ASN Programs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86.99%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89.32%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81.43%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79.26%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82%</w:t>
            </w:r>
          </w:p>
        </w:tc>
      </w:tr>
      <w:tr w:rsidR="00243E74" w:rsidRPr="00243E74" w:rsidTr="00243E74">
        <w:trPr>
          <w:trHeight w:val="23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rebuchet MS" w:eastAsia="Arial Unicode MS" w:hAnsi="Arial Unicode MS" w:cs="Arial Unicode MS"/>
                <w:color w:val="000000"/>
                <w:u w:color="000000"/>
                <w:bdr w:val="nil"/>
              </w:rPr>
            </w:pPr>
            <w:r w:rsidRPr="00243E74">
              <w:rPr>
                <w:rFonts w:ascii="Times New Roman Bold" w:eastAsia="Arial Unicode MS" w:hAnsi="Arial Unicode MS" w:cs="Arial Unicode MS"/>
                <w:color w:val="000000"/>
                <w:u w:color="000000"/>
                <w:bdr w:val="nil"/>
              </w:rPr>
              <w:t xml:space="preserve">VU Vincennes campus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85.54%</w:t>
            </w:r>
          </w:p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 (71/83)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 Bold" w:hAnsi="Times New Roman" w:cs="Times New Roman"/>
                <w:b/>
                <w:color w:val="000000"/>
                <w:u w:color="000000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91.1% </w:t>
            </w:r>
          </w:p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highlight w:val="lightGray"/>
                <w:u w:color="000000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(72/79)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77.7%</w:t>
            </w:r>
          </w:p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highlight w:val="lightGray"/>
                <w:u w:color="000000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 (77/99)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 Bold" w:hAnsi="Times New Roman" w:cs="Times New Roman"/>
                <w:b/>
                <w:color w:val="000000"/>
                <w:u w:color="000000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82.6%</w:t>
            </w:r>
          </w:p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highlight w:val="lightGray"/>
                <w:u w:color="000000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 (62/75</w:t>
            </w:r>
            <w:r w:rsidRPr="00243E74">
              <w:rPr>
                <w:rFonts w:ascii="Times New Roman" w:eastAsia="Arial Unicode MS" w:hAnsi="Times New Roman" w:cs="Times New Roman"/>
                <w:b/>
                <w:color w:val="000000"/>
                <w:highlight w:val="lightGray"/>
                <w:u w:color="000000"/>
                <w:bdr w:val="nil"/>
              </w:rPr>
              <w:t>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u w:color="000000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u w:color="000000"/>
                <w:bdr w:val="nil"/>
              </w:rPr>
              <w:t xml:space="preserve">80.95% </w:t>
            </w:r>
          </w:p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highlight w:val="lightGray"/>
                <w:u w:color="000000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u w:color="000000"/>
                <w:bdr w:val="nil"/>
              </w:rPr>
              <w:t>(68/84</w:t>
            </w:r>
            <w:r w:rsidRPr="00243E7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highlight w:val="lightGray"/>
                <w:u w:color="000000"/>
                <w:bdr w:val="nil"/>
              </w:rPr>
              <w:t>)</w:t>
            </w:r>
          </w:p>
        </w:tc>
      </w:tr>
      <w:tr w:rsidR="00243E74" w:rsidRPr="00243E74" w:rsidTr="00243E74">
        <w:trPr>
          <w:trHeight w:val="23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Bold" w:eastAsia="Times New Roman Bold" w:hAnsi="Times New Roman Bold" w:cs="Times New Roman Bold"/>
                <w:color w:val="000000"/>
                <w:u w:color="000000"/>
                <w:bdr w:val="nil"/>
              </w:rPr>
            </w:pPr>
            <w:r w:rsidRPr="00243E74">
              <w:rPr>
                <w:rFonts w:ascii="Times New Roman Bold" w:eastAsia="Arial Unicode MS" w:hAnsi="Arial Unicode MS" w:cs="Arial Unicode MS"/>
                <w:color w:val="000000"/>
                <w:u w:color="000000"/>
                <w:bdr w:val="nil"/>
              </w:rPr>
              <w:t>VU Jasper campus</w:t>
            </w:r>
          </w:p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rebuchet MS" w:eastAsia="Arial Unicode MS" w:hAnsi="Arial Unicode MS" w:cs="Arial Unicode MS"/>
                <w:color w:val="000000"/>
                <w:u w:color="000000"/>
                <w:bdr w:val="nil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94.12%      (32/34)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90.62%      (29/32)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D9D9D9" w:themeFill="background1" w:themeFillShade="D9"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70.27%</w:t>
            </w:r>
          </w:p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D9D9D9" w:themeFill="background1" w:themeFillShade="D9"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(26/37)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81.81     (27/33)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u w:color="000000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u w:color="000000"/>
                <w:bdr w:val="nil"/>
              </w:rPr>
              <w:t xml:space="preserve">78.12%   </w:t>
            </w:r>
          </w:p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u w:color="000000"/>
                <w:bdr w:val="nil"/>
              </w:rPr>
              <w:t xml:space="preserve"> </w:t>
            </w:r>
            <w:r w:rsidRPr="00243E7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u w:color="000000"/>
                <w:bdr w:val="nil"/>
                <w:shd w:val="clear" w:color="auto" w:fill="D9D9D9" w:themeFill="background1" w:themeFillShade="D9"/>
              </w:rPr>
              <w:t>(25/32)</w:t>
            </w:r>
          </w:p>
        </w:tc>
      </w:tr>
      <w:tr w:rsidR="00243E74" w:rsidRPr="00243E74" w:rsidTr="00243E74">
        <w:trPr>
          <w:trHeight w:val="23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243E74">
              <w:rPr>
                <w:rFonts w:ascii="Times New Roman Bold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</w:rPr>
              <w:t>Vincennes &amp; Jasper Combined Annual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88.03%</w:t>
            </w:r>
          </w:p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 Bold" w:hAnsi="Times New Roman" w:cs="Times New Roman"/>
                <w:b/>
                <w:color w:val="000000"/>
                <w:u w:color="000000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(103/117 )</w:t>
            </w:r>
          </w:p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90.99%</w:t>
            </w:r>
          </w:p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 Bold" w:hAnsi="Times New Roman" w:cs="Times New Roman"/>
                <w:b/>
                <w:color w:val="000000"/>
                <w:u w:color="000000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(101/111)</w:t>
            </w:r>
          </w:p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D9D9D9" w:themeFill="background1" w:themeFillShade="D9"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75.73%</w:t>
            </w:r>
          </w:p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D9D9D9" w:themeFill="background1" w:themeFillShade="D9"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(103/136)  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82.41%</w:t>
            </w:r>
          </w:p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 Bold" w:hAnsi="Times New Roman" w:cs="Times New Roman"/>
                <w:b/>
                <w:color w:val="000000"/>
                <w:u w:color="000000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(89/108)</w:t>
            </w:r>
          </w:p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80.17%</w:t>
            </w:r>
          </w:p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(93/116)</w:t>
            </w:r>
          </w:p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highlight w:val="lightGray"/>
                <w:u w:color="000000"/>
                <w:bdr w:val="nil"/>
              </w:rPr>
            </w:pPr>
          </w:p>
        </w:tc>
      </w:tr>
    </w:tbl>
    <w:p w:rsidR="00243E74" w:rsidRDefault="00243E74" w:rsidP="00243E74">
      <w:pPr>
        <w:jc w:val="center"/>
        <w:rPr>
          <w:b/>
        </w:rPr>
      </w:pPr>
    </w:p>
    <w:p w:rsidR="00243E74" w:rsidRDefault="00243E74" w:rsidP="00243E74">
      <w:pPr>
        <w:jc w:val="center"/>
        <w:rPr>
          <w:b/>
        </w:rPr>
      </w:pPr>
    </w:p>
    <w:p w:rsidR="00243E74" w:rsidRDefault="00243E74" w:rsidP="00243E74">
      <w:pPr>
        <w:jc w:val="center"/>
        <w:rPr>
          <w:b/>
        </w:rPr>
      </w:pPr>
      <w:r>
        <w:rPr>
          <w:b/>
        </w:rPr>
        <w:t>NCLEX Pass Rates PN Program</w:t>
      </w:r>
    </w:p>
    <w:p w:rsidR="00243E74" w:rsidRPr="00243E74" w:rsidRDefault="00243E74" w:rsidP="00243E74">
      <w:pPr>
        <w:jc w:val="center"/>
        <w:rPr>
          <w:b/>
        </w:rPr>
      </w:pPr>
    </w:p>
    <w:tbl>
      <w:tblPr>
        <w:tblpPr w:leftFromText="180" w:rightFromText="180" w:vertAnchor="page" w:horzAnchor="margin" w:tblpXSpec="center" w:tblpY="8326"/>
        <w:tblW w:w="107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1808"/>
        <w:gridCol w:w="1809"/>
        <w:gridCol w:w="1809"/>
        <w:gridCol w:w="1511"/>
        <w:gridCol w:w="1715"/>
      </w:tblGrid>
      <w:tr w:rsidR="00704569" w:rsidRPr="00704569" w:rsidTr="00EB36D6">
        <w:trPr>
          <w:trHeight w:val="45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69" w:rsidRPr="00704569" w:rsidRDefault="00704569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69" w:rsidRPr="00704569" w:rsidRDefault="00704569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rebuchet MS" w:eastAsia="Arial Unicode MS" w:hAnsi="Arial Unicode MS" w:cs="Arial Unicode MS"/>
                <w:color w:val="000000"/>
                <w:u w:color="000000"/>
                <w:bdr w:val="nil"/>
              </w:rPr>
            </w:pPr>
            <w:r w:rsidRPr="00704569">
              <w:rPr>
                <w:rFonts w:ascii="Times New Roman Bold" w:eastAsia="Arial Unicode MS" w:hAnsi="Arial Unicode MS" w:cs="Arial Unicode MS"/>
                <w:color w:val="000000"/>
                <w:u w:color="000000"/>
                <w:bdr w:val="nil"/>
              </w:rPr>
              <w:t>2011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69" w:rsidRPr="00704569" w:rsidRDefault="00704569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  <w:color w:val="000000"/>
                <w:u w:color="000000"/>
                <w:bdr w:val="nil"/>
              </w:rPr>
            </w:pPr>
            <w:r w:rsidRPr="00704569">
              <w:rPr>
                <w:rFonts w:ascii="Times New Roman Bold" w:eastAsia="Arial Unicode MS" w:hAnsi="Arial Unicode MS" w:cs="Arial Unicode MS"/>
                <w:color w:val="000000"/>
                <w:u w:color="000000"/>
                <w:bdr w:val="nil"/>
              </w:rPr>
              <w:t>2012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69" w:rsidRPr="00704569" w:rsidRDefault="00704569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 Bold" w:eastAsia="Arial Unicode MS" w:hAnsi="Arial Unicode MS" w:cs="Arial Unicode MS"/>
                <w:color w:val="000000"/>
                <w:u w:color="000000"/>
                <w:bdr w:val="nil"/>
              </w:rPr>
            </w:pPr>
            <w:r w:rsidRPr="00704569">
              <w:rPr>
                <w:rFonts w:ascii="Times New Roman Bold" w:eastAsia="Arial Unicode MS" w:hAnsi="Arial Unicode MS" w:cs="Arial Unicode MS"/>
                <w:color w:val="000000"/>
                <w:u w:color="000000"/>
                <w:bdr w:val="nil"/>
              </w:rPr>
              <w:t>2013</w:t>
            </w:r>
          </w:p>
          <w:p w:rsidR="00704569" w:rsidRPr="00704569" w:rsidRDefault="00704569" w:rsidP="008A16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rebuchet MS" w:eastAsia="Arial Unicode MS" w:hAnsi="Arial Unicode MS" w:cs="Arial Unicode MS"/>
                <w:color w:val="000000"/>
                <w:u w:color="000000"/>
                <w:bdr w:val="ni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69" w:rsidRPr="00704569" w:rsidRDefault="00704569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rebuchet MS" w:eastAsia="Arial Unicode MS" w:hAnsi="Arial Unicode MS" w:cs="Arial Unicode MS"/>
                <w:color w:val="000000"/>
                <w:u w:color="000000"/>
                <w:bdr w:val="nil"/>
              </w:rPr>
            </w:pPr>
            <w:r w:rsidRPr="00704569">
              <w:rPr>
                <w:rFonts w:ascii="Times New Roman Bold" w:eastAsia="Arial Unicode MS" w:hAnsi="Arial Unicode MS" w:cs="Arial Unicode MS"/>
                <w:color w:val="000000"/>
                <w:u w:color="000000"/>
                <w:bdr w:val="nil"/>
              </w:rPr>
              <w:t>2014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69" w:rsidRPr="00704569" w:rsidRDefault="00704569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rebuchet MS" w:eastAsia="Arial Unicode MS" w:hAnsi="Arial Unicode MS" w:cs="Arial Unicode MS"/>
                <w:color w:val="000000"/>
                <w:u w:color="000000"/>
                <w:bdr w:val="nil"/>
              </w:rPr>
            </w:pPr>
            <w:r w:rsidRPr="00704569">
              <w:rPr>
                <w:rFonts w:ascii="Times New Roman Bold" w:eastAsia="Arial Unicode MS" w:hAnsi="Arial Unicode MS" w:cs="Arial Unicode MS"/>
                <w:color w:val="000000"/>
                <w:u w:color="000000"/>
                <w:bdr w:val="nil"/>
              </w:rPr>
              <w:t>2015</w:t>
            </w:r>
          </w:p>
        </w:tc>
      </w:tr>
      <w:tr w:rsidR="00704569" w:rsidRPr="00704569" w:rsidTr="00EB36D6">
        <w:trPr>
          <w:trHeight w:val="573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69" w:rsidRPr="00704569" w:rsidRDefault="00704569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704569">
              <w:rPr>
                <w:rFonts w:ascii="Times New Roman Bold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NCLEX National </w:t>
            </w:r>
            <w:r w:rsidRPr="00704569">
              <w:rPr>
                <w:rFonts w:ascii="Times New Roman Bold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</w:rPr>
              <w:t>–</w:t>
            </w:r>
            <w:r w:rsidRPr="00704569">
              <w:rPr>
                <w:rFonts w:ascii="Times New Roman Bold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Total 1</w:t>
            </w:r>
            <w:r w:rsidRPr="00704569">
              <w:rPr>
                <w:rFonts w:ascii="Times New Roman Bold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  <w:vertAlign w:val="superscript"/>
              </w:rPr>
              <w:t>st</w:t>
            </w:r>
            <w:r w:rsidRPr="00704569">
              <w:rPr>
                <w:rFonts w:ascii="Times New Roman Bold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time, </w:t>
            </w:r>
            <w:r>
              <w:rPr>
                <w:rFonts w:ascii="Times New Roman Bold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</w:rPr>
              <w:t>PN</w:t>
            </w:r>
            <w:r w:rsidRPr="00704569">
              <w:rPr>
                <w:rFonts w:ascii="Times New Roman Bold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Programs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69" w:rsidRDefault="0000788A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84.83</w:t>
            </w:r>
          </w:p>
          <w:p w:rsidR="0000788A" w:rsidRPr="00704569" w:rsidRDefault="0000788A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(65,334)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69" w:rsidRDefault="0000788A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84.23%</w:t>
            </w:r>
          </w:p>
          <w:p w:rsidR="0000788A" w:rsidRPr="00704569" w:rsidRDefault="0000788A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(63,350)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88A" w:rsidRDefault="0000788A" w:rsidP="000078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84.63%</w:t>
            </w:r>
          </w:p>
          <w:p w:rsidR="0000788A" w:rsidRPr="00704569" w:rsidRDefault="0000788A" w:rsidP="000078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(58,574)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69" w:rsidRDefault="008A16BE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82.16%</w:t>
            </w:r>
          </w:p>
          <w:p w:rsidR="008A16BE" w:rsidRPr="00704569" w:rsidRDefault="008A16BE" w:rsidP="000078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(</w:t>
            </w:r>
            <w:r w:rsidR="0000788A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55,489)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69" w:rsidRDefault="008A16BE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81.89%</w:t>
            </w:r>
          </w:p>
          <w:p w:rsidR="008A16BE" w:rsidRPr="00704569" w:rsidRDefault="008A16BE" w:rsidP="000078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(</w:t>
            </w:r>
            <w:r w:rsidR="0000788A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50,958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)</w:t>
            </w:r>
          </w:p>
        </w:tc>
      </w:tr>
      <w:tr w:rsidR="00704569" w:rsidRPr="00704569" w:rsidTr="00EB36D6">
        <w:trPr>
          <w:trHeight w:val="23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69" w:rsidRPr="00704569" w:rsidRDefault="00704569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rebuchet MS" w:eastAsia="Arial Unicode MS" w:hAnsi="Arial Unicode MS" w:cs="Arial Unicode MS"/>
                <w:color w:val="000000"/>
                <w:u w:color="000000"/>
                <w:bdr w:val="nil"/>
              </w:rPr>
            </w:pPr>
            <w:r w:rsidRPr="00704569">
              <w:rPr>
                <w:rFonts w:ascii="Times New Roman Bold" w:eastAsia="Arial Unicode MS" w:hAnsi="Arial Unicode MS" w:cs="Arial Unicode MS"/>
                <w:color w:val="000000"/>
                <w:u w:color="000000"/>
                <w:bdr w:val="nil"/>
              </w:rPr>
              <w:t xml:space="preserve">VU Vincennes campus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69" w:rsidRDefault="00687495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96.88</w:t>
            </w:r>
          </w:p>
          <w:p w:rsidR="00687495" w:rsidRPr="00704569" w:rsidRDefault="00687495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(31/32)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69" w:rsidRDefault="00687495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96.7</w:t>
            </w:r>
          </w:p>
          <w:p w:rsidR="00687495" w:rsidRPr="00704569" w:rsidRDefault="00687495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(29/30)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69" w:rsidRDefault="00687495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85.1%</w:t>
            </w:r>
          </w:p>
          <w:p w:rsidR="00687495" w:rsidRPr="00704569" w:rsidRDefault="00687495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(23/27)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69" w:rsidRDefault="00687495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86.99</w:t>
            </w:r>
          </w:p>
          <w:p w:rsidR="00687495" w:rsidRPr="00704569" w:rsidRDefault="00687495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(27/32)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69" w:rsidRPr="00704569" w:rsidRDefault="00F211D8" w:rsidP="00F211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90.47%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br/>
              <w:t>(19/21)</w:t>
            </w:r>
          </w:p>
        </w:tc>
      </w:tr>
      <w:tr w:rsidR="00704569" w:rsidRPr="00704569" w:rsidTr="00EB36D6">
        <w:trPr>
          <w:trHeight w:val="23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69" w:rsidRPr="00704569" w:rsidRDefault="00704569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 Bold" w:eastAsia="Times New Roman Bold" w:hAnsi="Times New Roman Bold" w:cs="Times New Roman Bold"/>
                <w:color w:val="000000"/>
                <w:u w:color="000000"/>
                <w:bdr w:val="nil"/>
              </w:rPr>
            </w:pPr>
            <w:r w:rsidRPr="00704569">
              <w:rPr>
                <w:rFonts w:ascii="Times New Roman Bold" w:eastAsia="Arial Unicode MS" w:hAnsi="Arial Unicode MS" w:cs="Arial Unicode MS"/>
                <w:color w:val="000000"/>
                <w:u w:color="000000"/>
                <w:bdr w:val="nil"/>
              </w:rPr>
              <w:t>VU Jasper campus</w:t>
            </w:r>
          </w:p>
          <w:p w:rsidR="00704569" w:rsidRPr="00704569" w:rsidRDefault="00704569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rebuchet MS" w:eastAsia="Arial Unicode MS" w:hAnsi="Arial Unicode MS" w:cs="Arial Unicode MS"/>
                <w:color w:val="000000"/>
                <w:u w:color="000000"/>
                <w:bdr w:val="nil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69" w:rsidRPr="00704569" w:rsidRDefault="00704569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704569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100%</w:t>
            </w:r>
          </w:p>
          <w:p w:rsidR="00704569" w:rsidRPr="00704569" w:rsidRDefault="00704569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704569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(17/17)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69" w:rsidRPr="00704569" w:rsidRDefault="00704569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704569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90%   </w:t>
            </w:r>
          </w:p>
          <w:p w:rsidR="00704569" w:rsidRPr="00704569" w:rsidRDefault="00704569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704569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(18/20)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69" w:rsidRPr="00704569" w:rsidRDefault="00704569" w:rsidP="00EB3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704569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94.4%</w:t>
            </w:r>
          </w:p>
          <w:p w:rsidR="00704569" w:rsidRPr="00704569" w:rsidRDefault="00704569" w:rsidP="00EB3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704569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(17/18)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69" w:rsidRPr="00704569" w:rsidRDefault="00704569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704569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100%</w:t>
            </w:r>
          </w:p>
          <w:p w:rsidR="00704569" w:rsidRPr="00704569" w:rsidRDefault="00704569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704569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(16/16)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EE5" w:rsidRDefault="00044EE5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82.35%</w:t>
            </w:r>
          </w:p>
          <w:p w:rsidR="00704569" w:rsidRPr="00704569" w:rsidRDefault="00044EE5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(14/17)</w:t>
            </w:r>
          </w:p>
        </w:tc>
      </w:tr>
      <w:tr w:rsidR="00704569" w:rsidRPr="00704569" w:rsidTr="00EB36D6">
        <w:trPr>
          <w:trHeight w:val="23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69" w:rsidRPr="00704569" w:rsidRDefault="00704569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704569">
              <w:rPr>
                <w:rFonts w:ascii="Times New Roman Bold" w:eastAsia="Arial Unicode MS" w:hAnsi="Arial Unicode MS" w:cs="Arial Unicode MS"/>
                <w:color w:val="000000"/>
                <w:sz w:val="20"/>
                <w:szCs w:val="20"/>
                <w:u w:color="000000"/>
                <w:bdr w:val="nil"/>
              </w:rPr>
              <w:t>Vincennes &amp; Jasper Combined Annual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88A" w:rsidRDefault="0000788A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97.96%</w:t>
            </w:r>
          </w:p>
          <w:p w:rsidR="00704569" w:rsidRPr="00704569" w:rsidRDefault="0000788A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(48/49)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88A" w:rsidRDefault="0000788A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94%</w:t>
            </w:r>
          </w:p>
          <w:p w:rsidR="00704569" w:rsidRPr="00704569" w:rsidRDefault="0000788A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(47/50)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88A" w:rsidRDefault="0000788A" w:rsidP="00EB3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88.89%</w:t>
            </w:r>
          </w:p>
          <w:p w:rsidR="00704569" w:rsidRPr="00704569" w:rsidRDefault="0000788A" w:rsidP="00EB3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(40/45)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88A" w:rsidRDefault="0000788A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89.58%</w:t>
            </w:r>
          </w:p>
          <w:p w:rsidR="00704569" w:rsidRPr="00704569" w:rsidRDefault="0000788A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(43/48)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569" w:rsidRPr="00704569" w:rsidRDefault="00F211D8" w:rsidP="007045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86.84%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br/>
              <w:t>(33/38)</w:t>
            </w:r>
          </w:p>
        </w:tc>
      </w:tr>
    </w:tbl>
    <w:p w:rsidR="00704569" w:rsidRDefault="00243E74" w:rsidP="00243E74">
      <w:pPr>
        <w:tabs>
          <w:tab w:val="left" w:pos="4125"/>
        </w:tabs>
      </w:pPr>
      <w:r>
        <w:tab/>
      </w:r>
    </w:p>
    <w:p w:rsidR="00243E74" w:rsidRDefault="00243E74" w:rsidP="00243E74">
      <w:pPr>
        <w:tabs>
          <w:tab w:val="left" w:pos="4125"/>
        </w:tabs>
      </w:pPr>
    </w:p>
    <w:p w:rsidR="00243E74" w:rsidRDefault="00243E74" w:rsidP="00243E74">
      <w:pPr>
        <w:tabs>
          <w:tab w:val="left" w:pos="4125"/>
        </w:tabs>
      </w:pPr>
    </w:p>
    <w:p w:rsidR="00243E74" w:rsidRDefault="00243E74" w:rsidP="00243E74">
      <w:pPr>
        <w:tabs>
          <w:tab w:val="left" w:pos="4125"/>
        </w:tabs>
      </w:pPr>
    </w:p>
    <w:p w:rsidR="00243E74" w:rsidRDefault="00243E74" w:rsidP="00243E74">
      <w:pPr>
        <w:tabs>
          <w:tab w:val="left" w:pos="4125"/>
        </w:tabs>
      </w:pPr>
    </w:p>
    <w:p w:rsidR="00243E74" w:rsidRDefault="00D827C1" w:rsidP="00D827C1">
      <w:pPr>
        <w:tabs>
          <w:tab w:val="left" w:pos="4125"/>
        </w:tabs>
        <w:jc w:val="center"/>
        <w:rPr>
          <w:b/>
        </w:rPr>
      </w:pPr>
      <w:r w:rsidRPr="00D827C1">
        <w:rPr>
          <w:b/>
        </w:rPr>
        <w:lastRenderedPageBreak/>
        <w:t>Completion Rates</w:t>
      </w:r>
    </w:p>
    <w:p w:rsidR="00D827C1" w:rsidRPr="00D827C1" w:rsidRDefault="00D827C1" w:rsidP="00D827C1">
      <w:pPr>
        <w:tabs>
          <w:tab w:val="left" w:pos="4125"/>
        </w:tabs>
        <w:jc w:val="center"/>
        <w:rPr>
          <w:b/>
        </w:rPr>
      </w:pPr>
      <w:r>
        <w:rPr>
          <w:b/>
        </w:rPr>
        <w:t xml:space="preserve">BSN Program </w:t>
      </w:r>
    </w:p>
    <w:tbl>
      <w:tblPr>
        <w:tblStyle w:val="PlainTable11"/>
        <w:tblpPr w:leftFromText="180" w:rightFromText="180" w:vertAnchor="text" w:horzAnchor="page" w:tblpX="3271" w:tblpY="75"/>
        <w:tblW w:w="0" w:type="auto"/>
        <w:tblLook w:val="04A0" w:firstRow="1" w:lastRow="0" w:firstColumn="1" w:lastColumn="0" w:noHBand="0" w:noVBand="1"/>
      </w:tblPr>
      <w:tblGrid>
        <w:gridCol w:w="2610"/>
        <w:gridCol w:w="2430"/>
      </w:tblGrid>
      <w:tr w:rsidR="00177976" w:rsidRPr="00243E74" w:rsidTr="00E14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77976" w:rsidRPr="00243E74" w:rsidRDefault="00177976" w:rsidP="00E149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Year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77976" w:rsidRPr="00243E74" w:rsidRDefault="00177976" w:rsidP="00E149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Percentage </w:t>
            </w:r>
          </w:p>
        </w:tc>
      </w:tr>
      <w:tr w:rsidR="00177976" w:rsidRPr="00243E74" w:rsidTr="00177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77976" w:rsidRPr="00243E74" w:rsidRDefault="00177976" w:rsidP="00E149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2012-2013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77976" w:rsidRPr="00243E74" w:rsidRDefault="00EF5A74" w:rsidP="00E149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80%</w:t>
            </w:r>
          </w:p>
        </w:tc>
      </w:tr>
      <w:tr w:rsidR="00177976" w:rsidRPr="00243E74" w:rsidTr="00177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77976" w:rsidRPr="00243E74" w:rsidRDefault="00177976" w:rsidP="00E149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2013-2014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77976" w:rsidRPr="00243E74" w:rsidRDefault="00EF5A74" w:rsidP="00E149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87%</w:t>
            </w:r>
          </w:p>
        </w:tc>
      </w:tr>
      <w:tr w:rsidR="00177976" w:rsidRPr="00243E74" w:rsidTr="00177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77976" w:rsidRPr="00243E74" w:rsidRDefault="00177976" w:rsidP="00E149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2014-2015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77976" w:rsidRPr="00243E74" w:rsidRDefault="00EF5A74" w:rsidP="00E149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100%</w:t>
            </w:r>
          </w:p>
        </w:tc>
      </w:tr>
    </w:tbl>
    <w:p w:rsidR="00D827C1" w:rsidRDefault="00D827C1" w:rsidP="00243E74">
      <w:pPr>
        <w:tabs>
          <w:tab w:val="left" w:pos="4125"/>
        </w:tabs>
        <w:jc w:val="center"/>
        <w:rPr>
          <w:b/>
        </w:rPr>
      </w:pPr>
    </w:p>
    <w:p w:rsidR="00177976" w:rsidRDefault="00177976" w:rsidP="00243E74">
      <w:pPr>
        <w:tabs>
          <w:tab w:val="left" w:pos="4125"/>
        </w:tabs>
        <w:jc w:val="center"/>
        <w:rPr>
          <w:b/>
        </w:rPr>
      </w:pPr>
    </w:p>
    <w:p w:rsidR="00D827C1" w:rsidRDefault="00D827C1" w:rsidP="00243E74">
      <w:pPr>
        <w:tabs>
          <w:tab w:val="left" w:pos="4125"/>
        </w:tabs>
        <w:jc w:val="center"/>
        <w:rPr>
          <w:b/>
        </w:rPr>
      </w:pPr>
    </w:p>
    <w:p w:rsidR="00243E74" w:rsidRPr="00243E74" w:rsidRDefault="00243E74" w:rsidP="00243E74">
      <w:pPr>
        <w:tabs>
          <w:tab w:val="left" w:pos="4125"/>
        </w:tabs>
        <w:jc w:val="center"/>
        <w:rPr>
          <w:b/>
        </w:rPr>
      </w:pPr>
      <w:r w:rsidRPr="00243E74">
        <w:rPr>
          <w:b/>
        </w:rPr>
        <w:t xml:space="preserve">ASN Program </w:t>
      </w:r>
    </w:p>
    <w:tbl>
      <w:tblPr>
        <w:tblStyle w:val="PlainTable11"/>
        <w:tblpPr w:leftFromText="180" w:rightFromText="180" w:vertAnchor="text" w:horzAnchor="page" w:tblpX="3271" w:tblpY="75"/>
        <w:tblW w:w="0" w:type="auto"/>
        <w:tblLook w:val="04A0" w:firstRow="1" w:lastRow="0" w:firstColumn="1" w:lastColumn="0" w:noHBand="0" w:noVBand="1"/>
      </w:tblPr>
      <w:tblGrid>
        <w:gridCol w:w="2610"/>
        <w:gridCol w:w="2430"/>
      </w:tblGrid>
      <w:tr w:rsidR="00243E74" w:rsidRPr="00243E74" w:rsidTr="00771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Year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Percentage </w:t>
            </w:r>
          </w:p>
        </w:tc>
      </w:tr>
      <w:tr w:rsidR="00243E74" w:rsidRPr="00243E74" w:rsidTr="00771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2012-2013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91%</w:t>
            </w:r>
          </w:p>
        </w:tc>
      </w:tr>
      <w:tr w:rsidR="00243E74" w:rsidRPr="00243E74" w:rsidTr="00771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2013-2014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85%</w:t>
            </w:r>
          </w:p>
        </w:tc>
      </w:tr>
      <w:tr w:rsidR="00243E74" w:rsidRPr="00243E74" w:rsidTr="00771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2014-2015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69%</w:t>
            </w:r>
          </w:p>
        </w:tc>
      </w:tr>
    </w:tbl>
    <w:p w:rsidR="00243E74" w:rsidRDefault="00243E74" w:rsidP="00243E74">
      <w:pPr>
        <w:tabs>
          <w:tab w:val="left" w:pos="4125"/>
        </w:tabs>
      </w:pPr>
    </w:p>
    <w:p w:rsidR="00243E74" w:rsidRDefault="00243E74" w:rsidP="00243E74">
      <w:pPr>
        <w:tabs>
          <w:tab w:val="left" w:pos="4125"/>
        </w:tabs>
      </w:pPr>
    </w:p>
    <w:p w:rsidR="00243E74" w:rsidRDefault="00243E74" w:rsidP="00243E74">
      <w:pPr>
        <w:tabs>
          <w:tab w:val="left" w:pos="4125"/>
        </w:tabs>
      </w:pPr>
    </w:p>
    <w:p w:rsidR="00243E74" w:rsidRDefault="00243E74" w:rsidP="00243E74">
      <w:pPr>
        <w:tabs>
          <w:tab w:val="left" w:pos="4125"/>
        </w:tabs>
      </w:pPr>
    </w:p>
    <w:p w:rsidR="00243E74" w:rsidRDefault="00243E74" w:rsidP="00243E74">
      <w:pPr>
        <w:tabs>
          <w:tab w:val="left" w:pos="4125"/>
        </w:tabs>
      </w:pP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  <w:r w:rsidRPr="00243E74">
        <w:rPr>
          <w:b/>
        </w:rPr>
        <w:t xml:space="preserve">PN Program </w:t>
      </w:r>
    </w:p>
    <w:tbl>
      <w:tblPr>
        <w:tblStyle w:val="PlainTable11"/>
        <w:tblpPr w:leftFromText="180" w:rightFromText="180" w:vertAnchor="text" w:horzAnchor="page" w:tblpX="3271" w:tblpY="75"/>
        <w:tblW w:w="0" w:type="auto"/>
        <w:tblLook w:val="04A0" w:firstRow="1" w:lastRow="0" w:firstColumn="1" w:lastColumn="0" w:noHBand="0" w:noVBand="1"/>
      </w:tblPr>
      <w:tblGrid>
        <w:gridCol w:w="2610"/>
        <w:gridCol w:w="2430"/>
      </w:tblGrid>
      <w:tr w:rsidR="00E41305" w:rsidRPr="00243E74" w:rsidTr="00E14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41305" w:rsidRPr="00243E74" w:rsidRDefault="00E41305" w:rsidP="00E149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Year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41305" w:rsidRPr="00243E74" w:rsidRDefault="00E41305" w:rsidP="00E149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Percentage </w:t>
            </w:r>
          </w:p>
        </w:tc>
      </w:tr>
      <w:tr w:rsidR="00E41305" w:rsidRPr="00243E74" w:rsidTr="00E1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41305" w:rsidRPr="00243E74" w:rsidRDefault="00E41305" w:rsidP="00E149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2012-2013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41305" w:rsidRPr="00243E74" w:rsidRDefault="00EF5A74" w:rsidP="00E149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85%</w:t>
            </w:r>
          </w:p>
        </w:tc>
      </w:tr>
      <w:tr w:rsidR="00E41305" w:rsidRPr="00243E74" w:rsidTr="00E1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41305" w:rsidRPr="00243E74" w:rsidRDefault="00E41305" w:rsidP="00E149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2013-2014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41305" w:rsidRPr="00243E74" w:rsidRDefault="00EF5A74" w:rsidP="00EF5A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82%</w:t>
            </w:r>
          </w:p>
        </w:tc>
      </w:tr>
      <w:tr w:rsidR="00E41305" w:rsidRPr="00243E74" w:rsidTr="00E1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41305" w:rsidRPr="00243E74" w:rsidRDefault="00E41305" w:rsidP="00E149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2014-2015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41305" w:rsidRPr="00243E74" w:rsidRDefault="00EF5A74" w:rsidP="00E149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72%</w:t>
            </w:r>
          </w:p>
        </w:tc>
      </w:tr>
    </w:tbl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A63EE1" w:rsidP="00243E74">
      <w:pPr>
        <w:tabs>
          <w:tab w:val="left" w:pos="4125"/>
        </w:tabs>
        <w:jc w:val="center"/>
        <w:rPr>
          <w:b/>
        </w:rPr>
      </w:pPr>
      <w:r>
        <w:rPr>
          <w:b/>
        </w:rPr>
        <w:t>Employment Rates</w:t>
      </w:r>
    </w:p>
    <w:p w:rsidR="00D827C1" w:rsidRDefault="00D827C1" w:rsidP="00243E74">
      <w:pPr>
        <w:tabs>
          <w:tab w:val="left" w:pos="4125"/>
        </w:tabs>
        <w:jc w:val="center"/>
        <w:rPr>
          <w:b/>
        </w:rPr>
      </w:pPr>
      <w:r>
        <w:rPr>
          <w:b/>
        </w:rPr>
        <w:t xml:space="preserve">BSN Program </w:t>
      </w:r>
    </w:p>
    <w:tbl>
      <w:tblPr>
        <w:tblStyle w:val="PlainTable11"/>
        <w:tblW w:w="0" w:type="auto"/>
        <w:tblInd w:w="2155" w:type="dxa"/>
        <w:tblLook w:val="0420" w:firstRow="1" w:lastRow="0" w:firstColumn="0" w:lastColumn="0" w:noHBand="0" w:noVBand="1"/>
      </w:tblPr>
      <w:tblGrid>
        <w:gridCol w:w="2520"/>
        <w:gridCol w:w="2430"/>
      </w:tblGrid>
      <w:tr w:rsidR="00E41305" w:rsidRPr="00243E74" w:rsidTr="00E14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41305" w:rsidRPr="00243E74" w:rsidRDefault="00E41305" w:rsidP="00E149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Y</w:t>
            </w: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ear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41305" w:rsidRPr="00243E74" w:rsidRDefault="00E41305" w:rsidP="00E149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Percentage </w:t>
            </w:r>
          </w:p>
        </w:tc>
      </w:tr>
      <w:tr w:rsidR="00E41305" w:rsidRPr="00243E74" w:rsidTr="00E41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41305" w:rsidRPr="00243E74" w:rsidRDefault="00E41305" w:rsidP="00E149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2012-2013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41305" w:rsidRPr="00243E74" w:rsidRDefault="00EF5A74" w:rsidP="00E149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23%</w:t>
            </w:r>
          </w:p>
        </w:tc>
      </w:tr>
      <w:tr w:rsidR="00E41305" w:rsidRPr="00243E74" w:rsidTr="00E41305"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41305" w:rsidRPr="00243E74" w:rsidRDefault="00E41305" w:rsidP="00E149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2013-2014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41305" w:rsidRPr="00243E74" w:rsidRDefault="00EF5A74" w:rsidP="00E149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100%</w:t>
            </w:r>
          </w:p>
        </w:tc>
      </w:tr>
      <w:tr w:rsidR="00E41305" w:rsidRPr="00243E74" w:rsidTr="00E41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41305" w:rsidRPr="00243E74" w:rsidRDefault="00E41305" w:rsidP="00E149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2014-2015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41305" w:rsidRPr="00243E74" w:rsidRDefault="00EF5A74" w:rsidP="00E149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100%</w:t>
            </w:r>
          </w:p>
        </w:tc>
      </w:tr>
    </w:tbl>
    <w:p w:rsidR="00E41305" w:rsidRDefault="00E41305" w:rsidP="00243E74">
      <w:pPr>
        <w:tabs>
          <w:tab w:val="left" w:pos="4125"/>
        </w:tabs>
        <w:jc w:val="center"/>
        <w:rPr>
          <w:b/>
        </w:rPr>
      </w:pP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  <w:r>
        <w:rPr>
          <w:b/>
        </w:rPr>
        <w:t>ASN Program</w:t>
      </w:r>
    </w:p>
    <w:tbl>
      <w:tblPr>
        <w:tblStyle w:val="PlainTable11"/>
        <w:tblW w:w="0" w:type="auto"/>
        <w:tblInd w:w="2155" w:type="dxa"/>
        <w:tblLook w:val="0420" w:firstRow="1" w:lastRow="0" w:firstColumn="0" w:lastColumn="0" w:noHBand="0" w:noVBand="1"/>
      </w:tblPr>
      <w:tblGrid>
        <w:gridCol w:w="2520"/>
        <w:gridCol w:w="2430"/>
      </w:tblGrid>
      <w:tr w:rsidR="00243E74" w:rsidRPr="00243E74" w:rsidTr="00771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43E74" w:rsidRPr="00243E74" w:rsidRDefault="00E41305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Y</w:t>
            </w:r>
            <w:r w:rsidR="00243E74"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ear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Percentage </w:t>
            </w:r>
          </w:p>
        </w:tc>
      </w:tr>
      <w:tr w:rsidR="00243E74" w:rsidRPr="00243E74" w:rsidTr="00771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2012-2013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61%</w:t>
            </w:r>
          </w:p>
        </w:tc>
      </w:tr>
      <w:tr w:rsidR="00243E74" w:rsidRPr="00243E74" w:rsidTr="007718C3"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2013-2014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68%</w:t>
            </w:r>
          </w:p>
        </w:tc>
      </w:tr>
      <w:tr w:rsidR="00243E74" w:rsidRPr="00243E74" w:rsidTr="00771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2014-2015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43E74" w:rsidRPr="00243E74" w:rsidRDefault="00243E74" w:rsidP="00243E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82%</w:t>
            </w:r>
          </w:p>
        </w:tc>
      </w:tr>
    </w:tbl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D827C1" w:rsidP="00243E74">
      <w:pPr>
        <w:tabs>
          <w:tab w:val="left" w:pos="4125"/>
        </w:tabs>
        <w:jc w:val="center"/>
        <w:rPr>
          <w:b/>
        </w:rPr>
      </w:pPr>
      <w:r>
        <w:rPr>
          <w:b/>
        </w:rPr>
        <w:t xml:space="preserve">PN Program </w:t>
      </w: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tbl>
      <w:tblPr>
        <w:tblStyle w:val="PlainTable11"/>
        <w:tblW w:w="0" w:type="auto"/>
        <w:tblInd w:w="2155" w:type="dxa"/>
        <w:tblLook w:val="0420" w:firstRow="1" w:lastRow="0" w:firstColumn="0" w:lastColumn="0" w:noHBand="0" w:noVBand="1"/>
      </w:tblPr>
      <w:tblGrid>
        <w:gridCol w:w="2520"/>
        <w:gridCol w:w="2430"/>
      </w:tblGrid>
      <w:tr w:rsidR="00E41305" w:rsidRPr="00243E74" w:rsidTr="00E14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41305" w:rsidRPr="00243E74" w:rsidRDefault="00E41305" w:rsidP="00E149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Y</w:t>
            </w: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ear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41305" w:rsidRPr="00243E74" w:rsidRDefault="00E41305" w:rsidP="00E149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Percentage </w:t>
            </w:r>
          </w:p>
        </w:tc>
      </w:tr>
      <w:tr w:rsidR="00E41305" w:rsidRPr="00243E74" w:rsidTr="00E41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41305" w:rsidRPr="00243E74" w:rsidRDefault="00E41305" w:rsidP="00E149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2012-2013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41305" w:rsidRPr="00243E74" w:rsidRDefault="00EF5A74" w:rsidP="00E149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15%</w:t>
            </w:r>
          </w:p>
        </w:tc>
      </w:tr>
      <w:tr w:rsidR="00E41305" w:rsidRPr="00243E74" w:rsidTr="00E41305"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41305" w:rsidRPr="00243E74" w:rsidRDefault="00E41305" w:rsidP="00E149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2013-2014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41305" w:rsidRPr="00243E74" w:rsidRDefault="00EF5A74" w:rsidP="00E149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84%</w:t>
            </w:r>
          </w:p>
        </w:tc>
      </w:tr>
      <w:tr w:rsidR="00E41305" w:rsidRPr="00243E74" w:rsidTr="00E41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41305" w:rsidRPr="00243E74" w:rsidRDefault="00E41305" w:rsidP="00E149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2014-2015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41305" w:rsidRPr="00243E74" w:rsidRDefault="00EF5A74" w:rsidP="00E149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85%</w:t>
            </w:r>
          </w:p>
        </w:tc>
      </w:tr>
    </w:tbl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Pr="00243E74" w:rsidRDefault="00243E74" w:rsidP="00243E74">
      <w:pPr>
        <w:tabs>
          <w:tab w:val="left" w:pos="4125"/>
        </w:tabs>
        <w:jc w:val="center"/>
        <w:rPr>
          <w:b/>
        </w:rPr>
      </w:pPr>
    </w:p>
    <w:p w:rsidR="00243E74" w:rsidRDefault="00243E74" w:rsidP="00243E74">
      <w:pPr>
        <w:tabs>
          <w:tab w:val="left" w:pos="4125"/>
        </w:tabs>
      </w:pPr>
    </w:p>
    <w:sectPr w:rsidR="00243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74"/>
    <w:rsid w:val="0000788A"/>
    <w:rsid w:val="00044EE5"/>
    <w:rsid w:val="00177976"/>
    <w:rsid w:val="00243E74"/>
    <w:rsid w:val="00334434"/>
    <w:rsid w:val="00687495"/>
    <w:rsid w:val="00704569"/>
    <w:rsid w:val="008A16BE"/>
    <w:rsid w:val="00A63EE1"/>
    <w:rsid w:val="00D827C1"/>
    <w:rsid w:val="00E41305"/>
    <w:rsid w:val="00EB36D6"/>
    <w:rsid w:val="00EF5A74"/>
    <w:rsid w:val="00F2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90DC0-FE00-4E90-AD3D-7981AA12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243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7B52B-19E9-46B1-A814-4FC791B2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Pamela Gardner</cp:lastModifiedBy>
  <cp:revision>2</cp:revision>
  <dcterms:created xsi:type="dcterms:W3CDTF">2016-07-19T19:41:00Z</dcterms:created>
  <dcterms:modified xsi:type="dcterms:W3CDTF">2016-07-19T19:41:00Z</dcterms:modified>
</cp:coreProperties>
</file>