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0B4F" w:rsidRDefault="007251B9">
      <w:pPr>
        <w:rPr>
          <w:b/>
          <w:color w:val="1F497D" w:themeColor="text2"/>
          <w:sz w:val="40"/>
          <w:szCs w:val="40"/>
        </w:rPr>
      </w:pPr>
      <w:r>
        <w:rPr>
          <w:b/>
          <w:color w:val="1F497D" w:themeColor="text2"/>
          <w:sz w:val="40"/>
          <w:szCs w:val="40"/>
        </w:rPr>
        <w:t>Finance</w:t>
      </w:r>
      <w:r w:rsidR="00583FC3">
        <w:rPr>
          <w:b/>
          <w:color w:val="1F497D" w:themeColor="text2"/>
          <w:sz w:val="40"/>
          <w:szCs w:val="40"/>
        </w:rPr>
        <w:t xml:space="preserve"> – Professional Development</w:t>
      </w:r>
    </w:p>
    <w:p w:rsidR="00D520DF" w:rsidRPr="001B0B4F" w:rsidRDefault="00D520DF">
      <w:pPr>
        <w:rPr>
          <w:b/>
          <w:color w:val="1F497D" w:themeColor="text2"/>
          <w:sz w:val="32"/>
          <w:szCs w:val="32"/>
        </w:rPr>
      </w:pPr>
      <w:r w:rsidRPr="001B0B4F">
        <w:rPr>
          <w:i/>
          <w:sz w:val="32"/>
          <w:szCs w:val="32"/>
        </w:rPr>
        <w:t>Accounting Tools, Tricks and Tidbits</w:t>
      </w:r>
    </w:p>
    <w:p w:rsidR="005A1486" w:rsidRPr="003A09EA" w:rsidRDefault="003A09EA" w:rsidP="000C746F">
      <w:pPr>
        <w:pBdr>
          <w:bottom w:val="single" w:sz="4" w:space="1" w:color="auto"/>
        </w:pBdr>
        <w:rPr>
          <w:b/>
          <w:color w:val="1F497D" w:themeColor="text2"/>
          <w:sz w:val="28"/>
          <w:szCs w:val="28"/>
        </w:rPr>
      </w:pPr>
      <w:r w:rsidRPr="003A09EA">
        <w:rPr>
          <w:b/>
          <w:color w:val="1F497D" w:themeColor="text2"/>
          <w:sz w:val="28"/>
          <w:szCs w:val="28"/>
        </w:rPr>
        <w:t>How do I view my budget?</w:t>
      </w:r>
    </w:p>
    <w:p w:rsidR="00120CBB" w:rsidRPr="00896960" w:rsidRDefault="005F24E5" w:rsidP="005F24E5">
      <w:pPr>
        <w:pStyle w:val="NormalWeb"/>
        <w:numPr>
          <w:ilvl w:val="0"/>
          <w:numId w:val="4"/>
        </w:numPr>
        <w:spacing w:after="120" w:afterAutospacing="0"/>
        <w:rPr>
          <w:rFonts w:ascii="Arial" w:hAnsi="Arial" w:cs="Arial"/>
          <w:i/>
        </w:rPr>
      </w:pPr>
      <w:r w:rsidRPr="00896960">
        <w:rPr>
          <w:rFonts w:ascii="Arial" w:hAnsi="Arial" w:cs="Arial"/>
          <w:i/>
        </w:rPr>
        <w:t xml:space="preserve">How to review your budget </w:t>
      </w:r>
      <w:r w:rsidR="000032C7" w:rsidRPr="00896960">
        <w:rPr>
          <w:rFonts w:ascii="Arial" w:hAnsi="Arial" w:cs="Arial"/>
          <w:i/>
        </w:rPr>
        <w:t xml:space="preserve">and activity </w:t>
      </w:r>
      <w:r w:rsidRPr="00896960">
        <w:rPr>
          <w:rFonts w:ascii="Arial" w:hAnsi="Arial" w:cs="Arial"/>
          <w:i/>
        </w:rPr>
        <w:t xml:space="preserve">using </w:t>
      </w:r>
      <w:r w:rsidRPr="00896960">
        <w:rPr>
          <w:rFonts w:ascii="Arial" w:hAnsi="Arial" w:cs="Arial"/>
          <w:b/>
          <w:i/>
          <w:color w:val="1F497D" w:themeColor="text2"/>
        </w:rPr>
        <w:t>Banner Finance Self-Service</w:t>
      </w:r>
      <w:r w:rsidRPr="00896960">
        <w:rPr>
          <w:rFonts w:ascii="Arial" w:hAnsi="Arial" w:cs="Arial"/>
          <w:i/>
        </w:rPr>
        <w:t>.</w:t>
      </w:r>
    </w:p>
    <w:p w:rsidR="005F24E5" w:rsidRPr="00896960" w:rsidRDefault="005F24E5" w:rsidP="005F24E5">
      <w:pPr>
        <w:pStyle w:val="NormalWeb"/>
        <w:spacing w:after="120" w:afterAutospacing="0"/>
        <w:ind w:left="720"/>
        <w:rPr>
          <w:rFonts w:ascii="Arial" w:hAnsi="Arial" w:cs="Arial"/>
          <w:i/>
        </w:rPr>
      </w:pPr>
      <w:r w:rsidRPr="00896960">
        <w:rPr>
          <w:rFonts w:ascii="Arial" w:hAnsi="Arial" w:cs="Arial"/>
          <w:i/>
        </w:rPr>
        <w:t xml:space="preserve">Utilize the training material located on the Controller’s Webpage at </w:t>
      </w:r>
      <w:hyperlink r:id="rId8" w:history="1">
        <w:r w:rsidRPr="00896960">
          <w:rPr>
            <w:rStyle w:val="Hyperlink"/>
            <w:rFonts w:ascii="Arial" w:hAnsi="Arial" w:cs="Arial"/>
            <w:i/>
          </w:rPr>
          <w:t>http://survey.vinu.edu/controller/</w:t>
        </w:r>
      </w:hyperlink>
      <w:r w:rsidRPr="00896960">
        <w:rPr>
          <w:rFonts w:ascii="Arial" w:hAnsi="Arial" w:cs="Arial"/>
          <w:i/>
        </w:rPr>
        <w:t>.  The training material is currently located under the announcements on the Welcome tab</w:t>
      </w:r>
      <w:r w:rsidR="003C4783" w:rsidRPr="00896960">
        <w:rPr>
          <w:rFonts w:ascii="Arial" w:hAnsi="Arial" w:cs="Arial"/>
          <w:i/>
        </w:rPr>
        <w:t xml:space="preserve"> from the Controller’s home page</w:t>
      </w:r>
      <w:r w:rsidRPr="00896960">
        <w:rPr>
          <w:rFonts w:ascii="Arial" w:hAnsi="Arial" w:cs="Arial"/>
          <w:i/>
        </w:rPr>
        <w:t xml:space="preserve">.   There is also an on-line training video to view.    Also, under the </w:t>
      </w:r>
      <w:r w:rsidR="00872FC2" w:rsidRPr="00896960">
        <w:rPr>
          <w:rFonts w:ascii="Arial" w:hAnsi="Arial" w:cs="Arial"/>
          <w:i/>
        </w:rPr>
        <w:t xml:space="preserve">Accounting Tab/ the </w:t>
      </w:r>
      <w:r w:rsidRPr="00896960">
        <w:rPr>
          <w:rFonts w:ascii="Arial" w:hAnsi="Arial" w:cs="Arial"/>
          <w:i/>
        </w:rPr>
        <w:t>Accounting</w:t>
      </w:r>
      <w:r w:rsidR="000C746F" w:rsidRPr="00896960">
        <w:rPr>
          <w:rFonts w:ascii="Arial" w:hAnsi="Arial" w:cs="Arial"/>
          <w:i/>
        </w:rPr>
        <w:t>/Financial Reporting</w:t>
      </w:r>
      <w:r w:rsidR="003C4783" w:rsidRPr="00896960">
        <w:rPr>
          <w:rFonts w:ascii="Arial" w:hAnsi="Arial" w:cs="Arial"/>
          <w:i/>
        </w:rPr>
        <w:t xml:space="preserve"> </w:t>
      </w:r>
      <w:r w:rsidR="00872FC2" w:rsidRPr="00896960">
        <w:rPr>
          <w:rFonts w:ascii="Arial" w:hAnsi="Arial" w:cs="Arial"/>
          <w:i/>
        </w:rPr>
        <w:t xml:space="preserve">link </w:t>
      </w:r>
      <w:r w:rsidR="003C4783" w:rsidRPr="00896960">
        <w:rPr>
          <w:rFonts w:ascii="Arial" w:hAnsi="Arial" w:cs="Arial"/>
          <w:i/>
        </w:rPr>
        <w:t>and the</w:t>
      </w:r>
      <w:r w:rsidR="00872FC2" w:rsidRPr="00896960">
        <w:rPr>
          <w:rFonts w:ascii="Arial" w:hAnsi="Arial" w:cs="Arial"/>
          <w:i/>
        </w:rPr>
        <w:t>n select the</w:t>
      </w:r>
      <w:r w:rsidR="003C4783" w:rsidRPr="00896960">
        <w:rPr>
          <w:rFonts w:ascii="Arial" w:hAnsi="Arial" w:cs="Arial"/>
          <w:i/>
        </w:rPr>
        <w:t xml:space="preserve"> Banner T</w:t>
      </w:r>
      <w:r w:rsidRPr="00896960">
        <w:rPr>
          <w:rFonts w:ascii="Arial" w:hAnsi="Arial" w:cs="Arial"/>
          <w:i/>
        </w:rPr>
        <w:t>raining</w:t>
      </w:r>
      <w:r w:rsidR="003C4783" w:rsidRPr="00896960">
        <w:rPr>
          <w:rFonts w:ascii="Arial" w:hAnsi="Arial" w:cs="Arial"/>
          <w:i/>
        </w:rPr>
        <w:t xml:space="preserve"> tab</w:t>
      </w:r>
      <w:r w:rsidRPr="00896960">
        <w:rPr>
          <w:rFonts w:ascii="Arial" w:hAnsi="Arial" w:cs="Arial"/>
          <w:i/>
        </w:rPr>
        <w:t>, there are additional tra</w:t>
      </w:r>
      <w:r w:rsidR="00872FC2" w:rsidRPr="00896960">
        <w:rPr>
          <w:rFonts w:ascii="Arial" w:hAnsi="Arial" w:cs="Arial"/>
          <w:i/>
        </w:rPr>
        <w:t>ining guides</w:t>
      </w:r>
      <w:r w:rsidRPr="00896960">
        <w:rPr>
          <w:rFonts w:ascii="Arial" w:hAnsi="Arial" w:cs="Arial"/>
          <w:i/>
        </w:rPr>
        <w:t>.</w:t>
      </w:r>
    </w:p>
    <w:p w:rsidR="000C746F" w:rsidRPr="00896960" w:rsidRDefault="005F24E5" w:rsidP="003A09EA">
      <w:pPr>
        <w:pStyle w:val="NormalWeb"/>
        <w:spacing w:after="120" w:afterAutospacing="0"/>
        <w:ind w:left="720"/>
        <w:rPr>
          <w:rFonts w:ascii="Arial" w:hAnsi="Arial" w:cs="Arial"/>
          <w:i/>
        </w:rPr>
      </w:pPr>
      <w:r w:rsidRPr="00896960">
        <w:rPr>
          <w:rFonts w:ascii="Arial" w:hAnsi="Arial" w:cs="Arial"/>
          <w:i/>
        </w:rPr>
        <w:t>If you are in need of Finance tr</w:t>
      </w:r>
      <w:r w:rsidR="00F25856" w:rsidRPr="00896960">
        <w:rPr>
          <w:rFonts w:ascii="Arial" w:hAnsi="Arial" w:cs="Arial"/>
          <w:i/>
        </w:rPr>
        <w:t>aining, please email Angie Worland</w:t>
      </w:r>
      <w:r w:rsidRPr="00896960">
        <w:rPr>
          <w:rFonts w:ascii="Arial" w:hAnsi="Arial" w:cs="Arial"/>
          <w:i/>
        </w:rPr>
        <w:t xml:space="preserve"> or Conya Wampler to schedule a time.</w:t>
      </w:r>
    </w:p>
    <w:p w:rsidR="003A09EA" w:rsidRPr="00896960" w:rsidRDefault="003A09EA" w:rsidP="00D52BB4">
      <w:pPr>
        <w:pStyle w:val="NormalWeb"/>
        <w:numPr>
          <w:ilvl w:val="0"/>
          <w:numId w:val="4"/>
        </w:numPr>
        <w:spacing w:after="120" w:afterAutospacing="0"/>
        <w:rPr>
          <w:rFonts w:ascii="Arial" w:hAnsi="Arial" w:cs="Arial"/>
          <w:i/>
        </w:rPr>
      </w:pPr>
      <w:r w:rsidRPr="00896960">
        <w:rPr>
          <w:rFonts w:ascii="Arial" w:hAnsi="Arial" w:cs="Arial"/>
          <w:i/>
        </w:rPr>
        <w:t xml:space="preserve">How to view your budget using </w:t>
      </w:r>
      <w:r w:rsidRPr="00896960">
        <w:rPr>
          <w:rFonts w:ascii="Arial" w:hAnsi="Arial" w:cs="Arial"/>
          <w:b/>
          <w:i/>
          <w:color w:val="1F497D" w:themeColor="text2"/>
        </w:rPr>
        <w:t xml:space="preserve">Banner Finance INB </w:t>
      </w:r>
      <w:r w:rsidRPr="00896960">
        <w:rPr>
          <w:rFonts w:ascii="Arial" w:hAnsi="Arial" w:cs="Arial"/>
          <w:i/>
        </w:rPr>
        <w:t>(green screen).</w:t>
      </w:r>
    </w:p>
    <w:p w:rsidR="00D52BB4" w:rsidRPr="003A09EA" w:rsidRDefault="003A09EA" w:rsidP="003A09EA">
      <w:pPr>
        <w:pStyle w:val="NormalWeb"/>
        <w:spacing w:after="120" w:afterAutospacing="0"/>
        <w:ind w:left="720"/>
        <w:rPr>
          <w:rFonts w:ascii="Arial" w:hAnsi="Arial" w:cs="Arial"/>
          <w:i/>
        </w:rPr>
      </w:pPr>
      <w:r w:rsidRPr="00896960">
        <w:rPr>
          <w:rFonts w:ascii="Arial" w:hAnsi="Arial" w:cs="Arial"/>
          <w:i/>
        </w:rPr>
        <w:t>From the “Go To” Box, enter the word “BUDGET” if viewing a fiscal fund or enter the word “GRANT” to view a grant fund</w:t>
      </w:r>
      <w:r w:rsidRPr="003A09EA">
        <w:rPr>
          <w:rFonts w:ascii="Arial" w:hAnsi="Arial" w:cs="Arial"/>
          <w:i/>
        </w:rPr>
        <w:t>.</w:t>
      </w:r>
      <w:r w:rsidR="00F25856" w:rsidRPr="003A09EA">
        <w:rPr>
          <w:rFonts w:ascii="Arial" w:hAnsi="Arial" w:cs="Arial"/>
          <w:i/>
        </w:rPr>
        <w:t xml:space="preserve">  </w:t>
      </w:r>
    </w:p>
    <w:p w:rsidR="005F24E5" w:rsidRPr="005F24E5" w:rsidRDefault="005F24E5" w:rsidP="005F24E5">
      <w:pPr>
        <w:pStyle w:val="NormalWeb"/>
        <w:spacing w:after="120" w:afterAutospacing="0"/>
        <w:rPr>
          <w:rFonts w:ascii="Arial" w:hAnsi="Arial" w:cs="Arial"/>
          <w:i/>
        </w:rPr>
      </w:pPr>
    </w:p>
    <w:p w:rsidR="00120CBB" w:rsidRPr="003A09EA" w:rsidRDefault="003A09EA" w:rsidP="003A09EA">
      <w:pPr>
        <w:pBdr>
          <w:bottom w:val="single" w:sz="4" w:space="1" w:color="auto"/>
        </w:pBdr>
        <w:rPr>
          <w:b/>
          <w:color w:val="1F497D" w:themeColor="text2"/>
          <w:sz w:val="28"/>
          <w:szCs w:val="28"/>
        </w:rPr>
      </w:pPr>
      <w:r>
        <w:rPr>
          <w:b/>
          <w:color w:val="1F497D" w:themeColor="text2"/>
          <w:sz w:val="28"/>
          <w:szCs w:val="28"/>
        </w:rPr>
        <w:t>How do I know when the month is closed?</w:t>
      </w:r>
    </w:p>
    <w:p w:rsidR="00F25856" w:rsidRPr="00E87955" w:rsidRDefault="00F25856" w:rsidP="00F25856">
      <w:pPr>
        <w:pStyle w:val="NormalWeb"/>
        <w:numPr>
          <w:ilvl w:val="0"/>
          <w:numId w:val="15"/>
        </w:numPr>
        <w:spacing w:after="120" w:afterAutospacing="0"/>
        <w:rPr>
          <w:rFonts w:ascii="Arial" w:hAnsi="Arial" w:cs="Arial"/>
          <w:i/>
        </w:rPr>
      </w:pPr>
      <w:r w:rsidRPr="00E87955">
        <w:rPr>
          <w:rFonts w:ascii="Arial" w:hAnsi="Arial" w:cs="Arial"/>
          <w:i/>
        </w:rPr>
        <w:t xml:space="preserve">Finance schedules month end close, six to seven days following the end of each month.   An email is sent to designated individuals with the Eprint link to the reports as part of the month end close process. </w:t>
      </w:r>
      <w:r w:rsidR="003A09EA" w:rsidRPr="00E87955">
        <w:rPr>
          <w:rFonts w:ascii="Arial" w:hAnsi="Arial" w:cs="Arial"/>
          <w:i/>
        </w:rPr>
        <w:t>Eprint is an online storage system which houses many reports for the University</w:t>
      </w:r>
      <w:r w:rsidR="003A09EA" w:rsidRPr="00E87955">
        <w:rPr>
          <w:rFonts w:ascii="Arial" w:hAnsi="Arial" w:cs="Arial"/>
        </w:rPr>
        <w:t>.</w:t>
      </w:r>
      <w:r w:rsidRPr="00E87955">
        <w:rPr>
          <w:rFonts w:ascii="Arial" w:hAnsi="Arial" w:cs="Arial"/>
          <w:i/>
        </w:rPr>
        <w:t xml:space="preserve">  </w:t>
      </w:r>
    </w:p>
    <w:p w:rsidR="00F25856" w:rsidRDefault="00F25856" w:rsidP="00F25856">
      <w:pPr>
        <w:pStyle w:val="NormalWeb"/>
        <w:spacing w:after="120" w:afterAutospacing="0"/>
        <w:ind w:left="720"/>
        <w:rPr>
          <w:rFonts w:ascii="Arial" w:hAnsi="Arial" w:cs="Arial"/>
          <w:i/>
        </w:rPr>
      </w:pPr>
      <w:r w:rsidRPr="00E87955">
        <w:rPr>
          <w:rFonts w:ascii="Arial" w:hAnsi="Arial" w:cs="Arial"/>
          <w:i/>
        </w:rPr>
        <w:t>I</w:t>
      </w:r>
      <w:r>
        <w:rPr>
          <w:rFonts w:ascii="Arial" w:hAnsi="Arial" w:cs="Arial"/>
          <w:i/>
        </w:rPr>
        <w:t>ndividuals may also access their previous months report using an Eprint link located on the Employee tab on My VU.   Your Banner User ID and Password will be used to access Eprint.  By selecting the PDF icon shown below, the most current month on Eprint will automatically load.   By selecting the drill icon, users can select previous monthly reports.    Eprint contains reports dating back to June 2006.</w:t>
      </w:r>
    </w:p>
    <w:p w:rsidR="00F25856" w:rsidRPr="005F24E5" w:rsidRDefault="00F25856" w:rsidP="00F25856">
      <w:pPr>
        <w:pStyle w:val="NormalWeb"/>
        <w:spacing w:after="120" w:afterAutospacing="0"/>
        <w:ind w:left="720"/>
        <w:rPr>
          <w:rFonts w:ascii="Arial" w:hAnsi="Arial" w:cs="Arial"/>
          <w:i/>
        </w:rPr>
      </w:pPr>
      <w:r>
        <w:rPr>
          <w:rFonts w:ascii="Arial" w:hAnsi="Arial" w:cs="Arial"/>
          <w:i/>
          <w:noProof/>
        </w:rPr>
        <w:drawing>
          <wp:inline distT="0" distB="0" distL="0" distR="0">
            <wp:extent cx="5943600" cy="390525"/>
            <wp:effectExtent l="1905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t="56772" b="37464"/>
                    <a:stretch>
                      <a:fillRect/>
                    </a:stretch>
                  </pic:blipFill>
                  <pic:spPr bwMode="auto">
                    <a:xfrm>
                      <a:off x="0" y="0"/>
                      <a:ext cx="5943600" cy="390525"/>
                    </a:xfrm>
                    <a:prstGeom prst="rect">
                      <a:avLst/>
                    </a:prstGeom>
                    <a:noFill/>
                    <a:ln w="9525">
                      <a:noFill/>
                      <a:miter lim="800000"/>
                      <a:headEnd/>
                      <a:tailEnd/>
                    </a:ln>
                  </pic:spPr>
                </pic:pic>
              </a:graphicData>
            </a:graphic>
          </wp:inline>
        </w:drawing>
      </w:r>
    </w:p>
    <w:p w:rsidR="00F25856" w:rsidRDefault="00F25856" w:rsidP="00F25856">
      <w:pPr>
        <w:pStyle w:val="NormalWeb"/>
        <w:spacing w:after="120" w:afterAutospacing="0"/>
        <w:ind w:left="720"/>
        <w:rPr>
          <w:rFonts w:ascii="Arial" w:hAnsi="Arial" w:cs="Arial"/>
          <w:i/>
        </w:rPr>
      </w:pPr>
      <w:r w:rsidRPr="001B0B4F">
        <w:rPr>
          <w:rFonts w:ascii="Arial" w:hAnsi="Arial" w:cs="Arial"/>
          <w:i/>
        </w:rPr>
        <w:t>If you need access to this feature, please cont</w:t>
      </w:r>
      <w:r>
        <w:rPr>
          <w:rFonts w:ascii="Arial" w:hAnsi="Arial" w:cs="Arial"/>
          <w:i/>
        </w:rPr>
        <w:t>act Angie Worland</w:t>
      </w:r>
      <w:r w:rsidRPr="001B0B4F">
        <w:rPr>
          <w:rFonts w:ascii="Arial" w:hAnsi="Arial" w:cs="Arial"/>
          <w:i/>
        </w:rPr>
        <w:t xml:space="preserve"> or Conya</w:t>
      </w:r>
      <w:r>
        <w:rPr>
          <w:rFonts w:ascii="Arial" w:hAnsi="Arial" w:cs="Arial"/>
          <w:i/>
        </w:rPr>
        <w:t xml:space="preserve"> Wampler.</w:t>
      </w:r>
    </w:p>
    <w:p w:rsidR="005E4DE1" w:rsidRDefault="005E4DE1" w:rsidP="00120CBB">
      <w:pPr>
        <w:pStyle w:val="NormalWeb"/>
        <w:spacing w:after="120" w:afterAutospacing="0"/>
        <w:jc w:val="center"/>
        <w:rPr>
          <w:rFonts w:ascii="Arial" w:hAnsi="Arial" w:cs="Arial"/>
        </w:rPr>
      </w:pPr>
    </w:p>
    <w:p w:rsidR="00E87955" w:rsidRDefault="00E87955" w:rsidP="00120CBB">
      <w:pPr>
        <w:pStyle w:val="NormalWeb"/>
        <w:spacing w:after="120" w:afterAutospacing="0"/>
        <w:jc w:val="center"/>
        <w:rPr>
          <w:rFonts w:ascii="Arial" w:hAnsi="Arial" w:cs="Arial"/>
        </w:rPr>
      </w:pPr>
    </w:p>
    <w:p w:rsidR="00E87955" w:rsidRDefault="00E87955" w:rsidP="00CC619F">
      <w:pPr>
        <w:pStyle w:val="NormalWeb"/>
        <w:spacing w:after="120" w:afterAutospacing="0"/>
        <w:rPr>
          <w:rFonts w:ascii="Arial" w:hAnsi="Arial" w:cs="Arial"/>
        </w:rPr>
      </w:pPr>
    </w:p>
    <w:p w:rsidR="00E0475D" w:rsidRPr="00E87955" w:rsidRDefault="00FC69B4" w:rsidP="00E87955">
      <w:pPr>
        <w:pBdr>
          <w:bottom w:val="single" w:sz="4" w:space="1" w:color="auto"/>
        </w:pBdr>
        <w:rPr>
          <w:rFonts w:ascii="Arial" w:eastAsia="Calibri" w:hAnsi="Arial" w:cs="Arial"/>
          <w:b/>
          <w:color w:val="1F497D" w:themeColor="text2"/>
          <w:sz w:val="24"/>
          <w:szCs w:val="24"/>
        </w:rPr>
      </w:pPr>
      <w:r>
        <w:rPr>
          <w:rFonts w:ascii="Arial" w:eastAsia="Calibri" w:hAnsi="Arial" w:cs="Arial"/>
          <w:b/>
          <w:color w:val="1F497D" w:themeColor="text2"/>
          <w:sz w:val="24"/>
          <w:szCs w:val="24"/>
        </w:rPr>
        <w:t xml:space="preserve">What to </w:t>
      </w:r>
      <w:r w:rsidR="00E0475D" w:rsidRPr="00E87955">
        <w:rPr>
          <w:rFonts w:ascii="Arial" w:eastAsia="Calibri" w:hAnsi="Arial" w:cs="Arial"/>
          <w:b/>
          <w:color w:val="1F497D" w:themeColor="text2"/>
          <w:sz w:val="24"/>
          <w:szCs w:val="24"/>
        </w:rPr>
        <w:t>do when I receive a ne</w:t>
      </w:r>
      <w:r w:rsidR="001D017F">
        <w:rPr>
          <w:rFonts w:ascii="Arial" w:eastAsia="Calibri" w:hAnsi="Arial" w:cs="Arial"/>
          <w:b/>
          <w:color w:val="1F497D" w:themeColor="text2"/>
          <w:sz w:val="24"/>
          <w:szCs w:val="24"/>
        </w:rPr>
        <w:t>gative budget balance report?</w:t>
      </w:r>
    </w:p>
    <w:p w:rsidR="00E0475D" w:rsidRDefault="00E0475D" w:rsidP="00E87955">
      <w:pPr>
        <w:pStyle w:val="ListParagraph"/>
        <w:numPr>
          <w:ilvl w:val="0"/>
          <w:numId w:val="16"/>
        </w:numPr>
        <w:rPr>
          <w:rFonts w:ascii="Arial" w:eastAsia="Calibri" w:hAnsi="Arial" w:cs="Arial"/>
          <w:i/>
          <w:sz w:val="24"/>
          <w:szCs w:val="24"/>
        </w:rPr>
      </w:pPr>
      <w:r w:rsidRPr="00E87955">
        <w:rPr>
          <w:rFonts w:ascii="Arial" w:eastAsia="Calibri" w:hAnsi="Arial" w:cs="Arial"/>
          <w:i/>
          <w:sz w:val="24"/>
          <w:szCs w:val="24"/>
        </w:rPr>
        <w:t>Original budget amounts are generally established based on the historically amount expended in the specific account. If a neg</w:t>
      </w:r>
      <w:r w:rsidR="0069010A">
        <w:rPr>
          <w:rFonts w:ascii="Arial" w:eastAsia="Calibri" w:hAnsi="Arial" w:cs="Arial"/>
          <w:i/>
          <w:sz w:val="24"/>
          <w:szCs w:val="24"/>
        </w:rPr>
        <w:t xml:space="preserve">ative budget notice is received, </w:t>
      </w:r>
      <w:r w:rsidRPr="00E87955">
        <w:rPr>
          <w:rFonts w:ascii="Arial" w:eastAsia="Calibri" w:hAnsi="Arial" w:cs="Arial"/>
          <w:i/>
          <w:sz w:val="24"/>
          <w:szCs w:val="24"/>
        </w:rPr>
        <w:t>it is up to the responsible individual to determine why there is a variance in the account. Steps to determine the variance include the following:</w:t>
      </w:r>
    </w:p>
    <w:p w:rsidR="001D7ECF" w:rsidRDefault="001D7ECF" w:rsidP="001D7ECF">
      <w:pPr>
        <w:pStyle w:val="ListParagraph"/>
        <w:rPr>
          <w:rFonts w:ascii="Arial" w:eastAsia="Calibri" w:hAnsi="Arial" w:cs="Arial"/>
          <w:i/>
          <w:sz w:val="24"/>
          <w:szCs w:val="24"/>
        </w:rPr>
      </w:pPr>
    </w:p>
    <w:p w:rsidR="001D7ECF" w:rsidRPr="001D7ECF" w:rsidRDefault="001D7ECF" w:rsidP="001D7ECF">
      <w:pPr>
        <w:pStyle w:val="ListParagraph"/>
        <w:numPr>
          <w:ilvl w:val="0"/>
          <w:numId w:val="19"/>
        </w:numPr>
        <w:rPr>
          <w:rFonts w:ascii="Arial" w:eastAsia="Calibri" w:hAnsi="Arial" w:cs="Arial"/>
          <w:i/>
          <w:sz w:val="24"/>
          <w:szCs w:val="24"/>
        </w:rPr>
      </w:pPr>
      <w:r w:rsidRPr="001D7ECF">
        <w:rPr>
          <w:rFonts w:ascii="Arial" w:eastAsia="Calibri" w:hAnsi="Arial" w:cs="Arial"/>
          <w:i/>
          <w:sz w:val="24"/>
          <w:szCs w:val="24"/>
        </w:rPr>
        <w:t xml:space="preserve">Review the activity under FGITRND to determine if all documents have been correctly coded. To correct a coding error, complete a journal voucher form located </w:t>
      </w:r>
      <w:r w:rsidRPr="001D7ECF">
        <w:rPr>
          <w:rFonts w:ascii="Arial" w:hAnsi="Arial" w:cs="Arial"/>
          <w:i/>
          <w:sz w:val="24"/>
          <w:szCs w:val="24"/>
        </w:rPr>
        <w:t>on the Controller’s webpage under the Accounting/Financial Reporting tab.</w:t>
      </w:r>
      <w:r>
        <w:rPr>
          <w:rFonts w:ascii="Arial" w:hAnsi="Arial" w:cs="Arial"/>
          <w:i/>
          <w:sz w:val="24"/>
          <w:szCs w:val="24"/>
        </w:rPr>
        <w:t xml:space="preserve">  This form can only be used for expenditures other than salaries and benefits.</w:t>
      </w:r>
    </w:p>
    <w:p w:rsidR="001D7ECF" w:rsidRPr="001D7ECF" w:rsidRDefault="001D7ECF" w:rsidP="001D7ECF">
      <w:pPr>
        <w:pStyle w:val="ListParagraph"/>
        <w:numPr>
          <w:ilvl w:val="0"/>
          <w:numId w:val="19"/>
        </w:numPr>
        <w:rPr>
          <w:rFonts w:ascii="Arial" w:eastAsia="Calibri" w:hAnsi="Arial" w:cs="Arial"/>
          <w:i/>
          <w:sz w:val="24"/>
          <w:szCs w:val="24"/>
        </w:rPr>
      </w:pPr>
      <w:r>
        <w:rPr>
          <w:rFonts w:ascii="Arial" w:eastAsia="Calibri" w:hAnsi="Arial" w:cs="Arial"/>
          <w:i/>
          <w:sz w:val="24"/>
          <w:szCs w:val="24"/>
        </w:rPr>
        <w:t>If the expenditure has been correctly coded, review the budget availability and complete an online budget transfer on Finance Self Service.  As a general rule, salaries and benefits accounts cannot be transferred.</w:t>
      </w:r>
    </w:p>
    <w:p w:rsidR="00F25856" w:rsidRDefault="00F25856" w:rsidP="00E0475D">
      <w:pPr>
        <w:pStyle w:val="NormalWeb"/>
        <w:spacing w:after="120" w:afterAutospacing="0"/>
        <w:rPr>
          <w:rFonts w:ascii="Arial" w:hAnsi="Arial" w:cs="Arial"/>
        </w:rPr>
      </w:pPr>
    </w:p>
    <w:p w:rsidR="000C746F" w:rsidRPr="00E87955" w:rsidRDefault="000C746F" w:rsidP="000C746F">
      <w:pPr>
        <w:rPr>
          <w:b/>
          <w:sz w:val="28"/>
          <w:szCs w:val="28"/>
        </w:rPr>
      </w:pPr>
    </w:p>
    <w:p w:rsidR="000C746F" w:rsidRPr="00FC69B4" w:rsidRDefault="00E87955" w:rsidP="000C746F">
      <w:pPr>
        <w:pBdr>
          <w:bottom w:val="single" w:sz="4" w:space="1" w:color="auto"/>
        </w:pBdr>
        <w:rPr>
          <w:b/>
          <w:color w:val="1F497D" w:themeColor="text2"/>
          <w:sz w:val="28"/>
          <w:szCs w:val="28"/>
        </w:rPr>
      </w:pPr>
      <w:r w:rsidRPr="00FC69B4">
        <w:rPr>
          <w:b/>
          <w:color w:val="1F497D" w:themeColor="text2"/>
          <w:sz w:val="28"/>
          <w:szCs w:val="28"/>
        </w:rPr>
        <w:t>Where are the cash handling procedures?</w:t>
      </w:r>
    </w:p>
    <w:p w:rsidR="00B60A3B" w:rsidRPr="00896960" w:rsidRDefault="005F1D16" w:rsidP="00896960">
      <w:pPr>
        <w:pStyle w:val="NormalWeb"/>
        <w:numPr>
          <w:ilvl w:val="0"/>
          <w:numId w:val="5"/>
        </w:numPr>
        <w:spacing w:after="120" w:afterAutospacing="0"/>
        <w:rPr>
          <w:rFonts w:ascii="Arial" w:hAnsi="Arial" w:cs="Arial"/>
          <w:i/>
        </w:rPr>
      </w:pPr>
      <w:r w:rsidRPr="00896960">
        <w:rPr>
          <w:rFonts w:ascii="Arial" w:hAnsi="Arial" w:cs="Arial"/>
          <w:i/>
        </w:rPr>
        <w:t xml:space="preserve">Petty Cash </w:t>
      </w:r>
    </w:p>
    <w:p w:rsidR="00E80A6D" w:rsidRPr="00896960" w:rsidRDefault="00B60A3B" w:rsidP="00896960">
      <w:pPr>
        <w:pStyle w:val="NormalWeb"/>
        <w:spacing w:after="120" w:afterAutospacing="0"/>
        <w:ind w:left="720"/>
        <w:rPr>
          <w:rFonts w:ascii="Arial" w:hAnsi="Arial" w:cs="Arial"/>
          <w:i/>
        </w:rPr>
      </w:pPr>
      <w:r w:rsidRPr="00896960">
        <w:rPr>
          <w:rFonts w:ascii="Arial" w:hAnsi="Arial" w:cs="Arial"/>
          <w:i/>
        </w:rPr>
        <w:t>Petty cash p</w:t>
      </w:r>
      <w:r w:rsidR="005F1D16" w:rsidRPr="00896960">
        <w:rPr>
          <w:rFonts w:ascii="Arial" w:hAnsi="Arial" w:cs="Arial"/>
          <w:i/>
        </w:rPr>
        <w:t xml:space="preserve">rocedures are located under Accounts Payable on the Controller’s webpage under </w:t>
      </w:r>
      <w:r w:rsidR="000032C7" w:rsidRPr="00896960">
        <w:rPr>
          <w:rFonts w:ascii="Arial" w:hAnsi="Arial" w:cs="Arial"/>
          <w:i/>
        </w:rPr>
        <w:t xml:space="preserve">the </w:t>
      </w:r>
      <w:r w:rsidR="005F1D16" w:rsidRPr="00896960">
        <w:rPr>
          <w:rFonts w:ascii="Arial" w:hAnsi="Arial" w:cs="Arial"/>
          <w:i/>
        </w:rPr>
        <w:t>Policy/Procedures tab and the Petty Cash Reimbursement Form is</w:t>
      </w:r>
      <w:r w:rsidRPr="00896960">
        <w:rPr>
          <w:rFonts w:ascii="Arial" w:hAnsi="Arial" w:cs="Arial"/>
          <w:i/>
        </w:rPr>
        <w:t xml:space="preserve"> located </w:t>
      </w:r>
      <w:r w:rsidR="005F1D16" w:rsidRPr="00896960">
        <w:rPr>
          <w:rFonts w:ascii="Arial" w:hAnsi="Arial" w:cs="Arial"/>
          <w:i/>
        </w:rPr>
        <w:t>under the Forms tab.</w:t>
      </w:r>
      <w:r w:rsidR="00062E1A" w:rsidRPr="00896960">
        <w:rPr>
          <w:rFonts w:ascii="Arial" w:hAnsi="Arial" w:cs="Arial"/>
          <w:i/>
        </w:rPr>
        <w:t xml:space="preserve">  After obtaining proper signatures, the Petty Cash Reimbursement Form can be sent to Accounts Payable for processing </w:t>
      </w:r>
      <w:r w:rsidR="000032C7" w:rsidRPr="00896960">
        <w:rPr>
          <w:rFonts w:ascii="Arial" w:hAnsi="Arial" w:cs="Arial"/>
          <w:i/>
        </w:rPr>
        <w:t>and the employee rei</w:t>
      </w:r>
      <w:r w:rsidR="003A6E68" w:rsidRPr="00896960">
        <w:rPr>
          <w:rFonts w:ascii="Arial" w:hAnsi="Arial" w:cs="Arial"/>
          <w:i/>
        </w:rPr>
        <w:t>mbursement will be paid to the employee via</w:t>
      </w:r>
      <w:r w:rsidR="000032C7" w:rsidRPr="00896960">
        <w:rPr>
          <w:rFonts w:ascii="Arial" w:hAnsi="Arial" w:cs="Arial"/>
          <w:i/>
        </w:rPr>
        <w:t xml:space="preserve"> </w:t>
      </w:r>
      <w:r w:rsidR="00062E1A" w:rsidRPr="00896960">
        <w:rPr>
          <w:rFonts w:ascii="Arial" w:hAnsi="Arial" w:cs="Arial"/>
          <w:i/>
        </w:rPr>
        <w:t>direct deposit.</w:t>
      </w:r>
    </w:p>
    <w:p w:rsidR="00B60A3B" w:rsidRPr="00896960" w:rsidRDefault="00B60A3B" w:rsidP="00B60A3B">
      <w:pPr>
        <w:pStyle w:val="NormalWeb"/>
        <w:spacing w:after="120" w:afterAutospacing="0"/>
        <w:ind w:left="720"/>
        <w:rPr>
          <w:rFonts w:ascii="Arial" w:hAnsi="Arial" w:cs="Arial"/>
          <w:i/>
        </w:rPr>
      </w:pPr>
    </w:p>
    <w:p w:rsidR="00B60A3B" w:rsidRPr="00896960" w:rsidRDefault="00B60A3B" w:rsidP="005F1D16">
      <w:pPr>
        <w:pStyle w:val="NormalWeb"/>
        <w:numPr>
          <w:ilvl w:val="0"/>
          <w:numId w:val="5"/>
        </w:numPr>
        <w:spacing w:after="120" w:afterAutospacing="0"/>
        <w:rPr>
          <w:rFonts w:ascii="Arial" w:hAnsi="Arial" w:cs="Arial"/>
          <w:i/>
        </w:rPr>
      </w:pPr>
      <w:r w:rsidRPr="00896960">
        <w:rPr>
          <w:rFonts w:ascii="Arial" w:hAnsi="Arial" w:cs="Arial"/>
          <w:i/>
        </w:rPr>
        <w:t>Departmental Receipts</w:t>
      </w:r>
    </w:p>
    <w:p w:rsidR="006D18FB" w:rsidRPr="00896960" w:rsidRDefault="00FD1956" w:rsidP="00F8196D">
      <w:pPr>
        <w:pStyle w:val="NormalWeb"/>
        <w:ind w:left="720"/>
        <w:rPr>
          <w:rFonts w:ascii="Arial" w:hAnsi="Arial" w:cs="Arial"/>
          <w:i/>
          <w:color w:val="330000"/>
        </w:rPr>
      </w:pPr>
      <w:r w:rsidRPr="00896960">
        <w:rPr>
          <w:rFonts w:ascii="Arial" w:hAnsi="Arial" w:cs="Arial"/>
          <w:i/>
        </w:rPr>
        <w:t>On the Controller’s webpage, under the Accounting/Financial Reporting, select the Policy/Procedures tab to view the policies for Safeguarding of Cash and the University Cash Handling.</w:t>
      </w:r>
      <w:r w:rsidR="006D18FB" w:rsidRPr="00896960">
        <w:rPr>
          <w:rFonts w:ascii="Arial" w:hAnsi="Arial" w:cs="Arial"/>
          <w:i/>
        </w:rPr>
        <w:t xml:space="preserve"> </w:t>
      </w:r>
      <w:r w:rsidR="006D18FB" w:rsidRPr="00896960">
        <w:rPr>
          <w:rFonts w:ascii="Arial" w:hAnsi="Arial" w:cs="Arial"/>
          <w:i/>
          <w:color w:val="330000"/>
        </w:rPr>
        <w:t xml:space="preserve">It is University policy that all cash </w:t>
      </w:r>
      <w:r w:rsidR="006D18FB" w:rsidRPr="00896960">
        <w:rPr>
          <w:rFonts w:ascii="Arial" w:hAnsi="Arial" w:cs="Arial"/>
          <w:i/>
          <w:iCs/>
          <w:color w:val="330000"/>
        </w:rPr>
        <w:t>(checks, currency, and coin)</w:t>
      </w:r>
      <w:r w:rsidR="006D18FB" w:rsidRPr="00896960">
        <w:rPr>
          <w:rFonts w:ascii="Arial" w:hAnsi="Arial" w:cs="Arial"/>
          <w:i/>
          <w:color w:val="330000"/>
        </w:rPr>
        <w:t xml:space="preserve"> collected by University departments and student organizations should be deposited on a daily basis (within twenty-four hours) at the Bursar’s Office.  </w:t>
      </w:r>
      <w:r w:rsidR="006D18FB" w:rsidRPr="00896960">
        <w:rPr>
          <w:rFonts w:ascii="Arial" w:hAnsi="Arial" w:cs="Arial"/>
          <w:i/>
          <w:color w:val="000000"/>
        </w:rPr>
        <w:t>All deposits over $200 are to be made within one business day of receipt. Income of less than $200 must be deposited within five business days of receipt. Funds received but not yet deposited, must be kept in a secure locked device until deposited. When receipts are not deposited in a timely manner, there is a greater chance of it being lost or stolen.</w:t>
      </w:r>
      <w:r w:rsidR="00F8196D" w:rsidRPr="00896960">
        <w:rPr>
          <w:rFonts w:ascii="Arial" w:hAnsi="Arial" w:cs="Arial"/>
          <w:i/>
          <w:color w:val="000000"/>
        </w:rPr>
        <w:t xml:space="preserve">  </w:t>
      </w:r>
    </w:p>
    <w:p w:rsidR="00FD1956" w:rsidRPr="00FD1956" w:rsidRDefault="00FD1956" w:rsidP="00FD1956">
      <w:pPr>
        <w:pStyle w:val="NormalWeb"/>
        <w:spacing w:after="120" w:afterAutospacing="0"/>
        <w:ind w:left="720"/>
        <w:rPr>
          <w:rFonts w:ascii="Arial" w:hAnsi="Arial" w:cs="Arial"/>
          <w:i/>
        </w:rPr>
      </w:pPr>
    </w:p>
    <w:p w:rsidR="00B60A3B" w:rsidRDefault="00B60A3B" w:rsidP="00B60A3B">
      <w:pPr>
        <w:pStyle w:val="NormalWeb"/>
        <w:spacing w:after="120" w:afterAutospacing="0"/>
        <w:ind w:left="720"/>
        <w:rPr>
          <w:rFonts w:ascii="Arial" w:hAnsi="Arial" w:cs="Arial"/>
        </w:rPr>
      </w:pPr>
    </w:p>
    <w:p w:rsidR="00C85235" w:rsidRPr="00E87955" w:rsidRDefault="00E87955" w:rsidP="00E87955">
      <w:pPr>
        <w:pBdr>
          <w:bottom w:val="single" w:sz="4" w:space="1" w:color="auto"/>
        </w:pBdr>
        <w:rPr>
          <w:rFonts w:ascii="Arial" w:eastAsia="Calibri" w:hAnsi="Arial" w:cs="Arial"/>
          <w:b/>
          <w:color w:val="1F497D" w:themeColor="text2"/>
          <w:sz w:val="24"/>
          <w:szCs w:val="24"/>
        </w:rPr>
      </w:pPr>
      <w:r w:rsidRPr="00E87955">
        <w:rPr>
          <w:rFonts w:ascii="Arial" w:eastAsia="Calibri" w:hAnsi="Arial" w:cs="Arial"/>
          <w:b/>
          <w:color w:val="1F497D" w:themeColor="text2"/>
          <w:sz w:val="24"/>
          <w:szCs w:val="24"/>
        </w:rPr>
        <w:t xml:space="preserve">What is the difference between </w:t>
      </w:r>
      <w:r w:rsidR="00C85235" w:rsidRPr="00E87955">
        <w:rPr>
          <w:rFonts w:ascii="Arial" w:eastAsia="Calibri" w:hAnsi="Arial" w:cs="Arial"/>
          <w:b/>
          <w:color w:val="1F497D" w:themeColor="text2"/>
          <w:sz w:val="24"/>
          <w:szCs w:val="24"/>
        </w:rPr>
        <w:t>Pass-Thru Fees vs. Non Pass-Thru Fee</w:t>
      </w:r>
      <w:r w:rsidR="00396B40">
        <w:rPr>
          <w:rFonts w:ascii="Arial" w:eastAsia="Calibri" w:hAnsi="Arial" w:cs="Arial"/>
          <w:b/>
          <w:color w:val="1F497D" w:themeColor="text2"/>
          <w:sz w:val="24"/>
          <w:szCs w:val="24"/>
        </w:rPr>
        <w:t>s</w:t>
      </w:r>
      <w:r w:rsidRPr="00E87955">
        <w:rPr>
          <w:rFonts w:ascii="Arial" w:eastAsia="Calibri" w:hAnsi="Arial" w:cs="Arial"/>
          <w:b/>
          <w:color w:val="1F497D" w:themeColor="text2"/>
          <w:sz w:val="24"/>
          <w:szCs w:val="24"/>
        </w:rPr>
        <w:t>?</w:t>
      </w:r>
    </w:p>
    <w:p w:rsidR="00C85235" w:rsidRPr="002436C5" w:rsidRDefault="00C85235" w:rsidP="00C85235">
      <w:pPr>
        <w:pStyle w:val="ListParagraph"/>
        <w:rPr>
          <w:rFonts w:ascii="Arial" w:eastAsia="Calibri" w:hAnsi="Arial" w:cs="Arial"/>
          <w:b/>
          <w:i/>
          <w:sz w:val="24"/>
          <w:szCs w:val="24"/>
        </w:rPr>
      </w:pPr>
    </w:p>
    <w:p w:rsidR="00C85235" w:rsidRPr="00FC69B4" w:rsidRDefault="00C85235" w:rsidP="00FC69B4">
      <w:pPr>
        <w:pStyle w:val="ListParagraph"/>
        <w:numPr>
          <w:ilvl w:val="0"/>
          <w:numId w:val="20"/>
        </w:numPr>
        <w:rPr>
          <w:rFonts w:ascii="Arial" w:eastAsia="Calibri" w:hAnsi="Arial" w:cs="Arial"/>
          <w:i/>
          <w:sz w:val="24"/>
          <w:szCs w:val="24"/>
        </w:rPr>
      </w:pPr>
      <w:r w:rsidRPr="00FC69B4">
        <w:rPr>
          <w:rFonts w:ascii="Arial" w:eastAsia="Calibri" w:hAnsi="Arial" w:cs="Arial"/>
          <w:b/>
          <w:i/>
          <w:sz w:val="24"/>
          <w:szCs w:val="24"/>
        </w:rPr>
        <w:t>Pass-Thru Fees</w:t>
      </w:r>
      <w:r w:rsidRPr="00FC69B4">
        <w:rPr>
          <w:rFonts w:ascii="Arial" w:eastAsia="Calibri" w:hAnsi="Arial" w:cs="Arial"/>
          <w:i/>
          <w:sz w:val="24"/>
          <w:szCs w:val="24"/>
        </w:rPr>
        <w:t xml:space="preserve"> = As a general rule pass-thru fees cover a </w:t>
      </w:r>
      <w:r w:rsidRPr="00FC69B4">
        <w:rPr>
          <w:rFonts w:ascii="Arial" w:eastAsia="Calibri" w:hAnsi="Arial" w:cs="Arial"/>
          <w:b/>
          <w:i/>
          <w:sz w:val="24"/>
          <w:szCs w:val="24"/>
        </w:rPr>
        <w:t xml:space="preserve">specific </w:t>
      </w:r>
      <w:r w:rsidRPr="00FC69B4">
        <w:rPr>
          <w:rFonts w:ascii="Arial" w:eastAsia="Calibri" w:hAnsi="Arial" w:cs="Arial"/>
          <w:i/>
          <w:sz w:val="24"/>
          <w:szCs w:val="24"/>
        </w:rPr>
        <w:t xml:space="preserve">instructional cost which is “passed on” to the student. Examples would be magazine subscriptions, tool kits, etc. These fees are accounted for in a </w:t>
      </w:r>
      <w:r w:rsidRPr="00FC69B4">
        <w:rPr>
          <w:rFonts w:ascii="Arial" w:eastAsia="Calibri" w:hAnsi="Arial" w:cs="Arial"/>
          <w:b/>
          <w:i/>
          <w:sz w:val="24"/>
          <w:szCs w:val="24"/>
        </w:rPr>
        <w:t>unique fund number (#12xxx)</w:t>
      </w:r>
      <w:r w:rsidRPr="00FC69B4">
        <w:rPr>
          <w:rFonts w:ascii="Arial" w:eastAsia="Calibri" w:hAnsi="Arial" w:cs="Arial"/>
          <w:i/>
          <w:sz w:val="24"/>
          <w:szCs w:val="24"/>
        </w:rPr>
        <w:t xml:space="preserve"> which tracks both a revenue account (the actual fees the student pays) and an expense account (the actual vendor cost the pass-thru fee was set up to pay for). Residual amounts in these funds roll from fiscal year to fiscal year.</w:t>
      </w:r>
    </w:p>
    <w:p w:rsidR="00C85235" w:rsidRPr="002D7B7E" w:rsidRDefault="00C85235" w:rsidP="00C85235">
      <w:pPr>
        <w:pStyle w:val="ListParagraph"/>
        <w:rPr>
          <w:rFonts w:ascii="Arial" w:eastAsia="Calibri" w:hAnsi="Arial" w:cs="Arial"/>
          <w:i/>
          <w:sz w:val="24"/>
          <w:szCs w:val="24"/>
        </w:rPr>
      </w:pPr>
    </w:p>
    <w:p w:rsidR="00C85235" w:rsidRPr="00FC69B4" w:rsidRDefault="00C85235" w:rsidP="00FC69B4">
      <w:pPr>
        <w:pStyle w:val="ListParagraph"/>
        <w:numPr>
          <w:ilvl w:val="0"/>
          <w:numId w:val="20"/>
        </w:numPr>
        <w:rPr>
          <w:rFonts w:ascii="Arial" w:eastAsia="Calibri" w:hAnsi="Arial" w:cs="Arial"/>
          <w:i/>
          <w:sz w:val="24"/>
          <w:szCs w:val="24"/>
        </w:rPr>
      </w:pPr>
      <w:r w:rsidRPr="00FC69B4">
        <w:rPr>
          <w:rFonts w:ascii="Arial" w:eastAsia="Calibri" w:hAnsi="Arial" w:cs="Arial"/>
          <w:b/>
          <w:i/>
          <w:sz w:val="24"/>
          <w:szCs w:val="24"/>
        </w:rPr>
        <w:t>Non Pass-Thru Fees</w:t>
      </w:r>
      <w:r w:rsidRPr="00FC69B4">
        <w:rPr>
          <w:rFonts w:ascii="Arial" w:eastAsia="Calibri" w:hAnsi="Arial" w:cs="Arial"/>
          <w:i/>
          <w:sz w:val="24"/>
          <w:szCs w:val="24"/>
        </w:rPr>
        <w:t xml:space="preserve"> = As a general rule non pass-thru fees cover </w:t>
      </w:r>
      <w:r w:rsidRPr="00FC69B4">
        <w:rPr>
          <w:rFonts w:ascii="Arial" w:eastAsia="Calibri" w:hAnsi="Arial" w:cs="Arial"/>
          <w:b/>
          <w:i/>
          <w:sz w:val="24"/>
          <w:szCs w:val="24"/>
        </w:rPr>
        <w:t>“general”</w:t>
      </w:r>
      <w:r w:rsidRPr="00FC69B4">
        <w:rPr>
          <w:rFonts w:ascii="Arial" w:eastAsia="Calibri" w:hAnsi="Arial" w:cs="Arial"/>
          <w:i/>
          <w:sz w:val="24"/>
          <w:szCs w:val="24"/>
        </w:rPr>
        <w:t xml:space="preserve"> instructional costs and are used to help offset the additional operating cost(s) of the program. Examples would include fees to cover general cost increases in instructional supplies, or high cost programs such as Flight, or specialized instruction such as Music.  These fees are accounted for in the general fund  (#10000) in the org no. of the instructional department. Any residual amounts from these funds do not roll from fiscal year to fiscal year.</w:t>
      </w:r>
    </w:p>
    <w:p w:rsidR="00E87955" w:rsidRDefault="00E87955" w:rsidP="00C85235">
      <w:pPr>
        <w:pStyle w:val="ListParagraph"/>
        <w:rPr>
          <w:rFonts w:ascii="Arial" w:eastAsia="Calibri" w:hAnsi="Arial" w:cs="Arial"/>
          <w:i/>
          <w:sz w:val="24"/>
          <w:szCs w:val="24"/>
        </w:rPr>
      </w:pPr>
    </w:p>
    <w:p w:rsidR="00E87955" w:rsidRPr="002D7B7E" w:rsidRDefault="00E87955" w:rsidP="00C85235">
      <w:pPr>
        <w:pStyle w:val="ListParagraph"/>
        <w:rPr>
          <w:rFonts w:ascii="Arial" w:eastAsia="Calibri" w:hAnsi="Arial" w:cs="Arial"/>
          <w:i/>
          <w:sz w:val="24"/>
          <w:szCs w:val="24"/>
        </w:rPr>
      </w:pPr>
    </w:p>
    <w:p w:rsidR="00E87955" w:rsidRPr="00E87955" w:rsidRDefault="00FC69B4" w:rsidP="00E87955">
      <w:pPr>
        <w:pBdr>
          <w:bottom w:val="single" w:sz="4" w:space="1" w:color="auto"/>
        </w:pBdr>
        <w:rPr>
          <w:b/>
          <w:color w:val="1F497D" w:themeColor="text2"/>
          <w:sz w:val="28"/>
          <w:szCs w:val="28"/>
        </w:rPr>
      </w:pPr>
      <w:r>
        <w:rPr>
          <w:b/>
          <w:color w:val="1F497D" w:themeColor="text2"/>
          <w:sz w:val="28"/>
          <w:szCs w:val="28"/>
        </w:rPr>
        <w:t>Where is my revenue</w:t>
      </w:r>
      <w:r w:rsidR="00E87955" w:rsidRPr="00E87955">
        <w:rPr>
          <w:b/>
          <w:color w:val="1F497D" w:themeColor="text2"/>
          <w:sz w:val="28"/>
          <w:szCs w:val="28"/>
        </w:rPr>
        <w:t xml:space="preserve"> for pass thru and non pass thru fees?</w:t>
      </w:r>
    </w:p>
    <w:p w:rsidR="00E87955" w:rsidRDefault="00E87955" w:rsidP="00E87955">
      <w:pPr>
        <w:jc w:val="center"/>
        <w:rPr>
          <w:rFonts w:ascii="Arial" w:hAnsi="Arial" w:cs="Arial"/>
        </w:rPr>
      </w:pPr>
    </w:p>
    <w:p w:rsidR="00E87955" w:rsidRPr="00896960" w:rsidRDefault="00E87955" w:rsidP="00E87955">
      <w:pPr>
        <w:pStyle w:val="NormalWeb"/>
        <w:numPr>
          <w:ilvl w:val="0"/>
          <w:numId w:val="17"/>
        </w:numPr>
        <w:spacing w:after="120" w:afterAutospacing="0"/>
        <w:rPr>
          <w:rFonts w:ascii="Arial" w:hAnsi="Arial" w:cs="Arial"/>
          <w:i/>
        </w:rPr>
      </w:pPr>
      <w:r w:rsidRPr="00896960">
        <w:rPr>
          <w:rFonts w:ascii="Arial" w:hAnsi="Arial" w:cs="Arial"/>
          <w:i/>
        </w:rPr>
        <w:t>Reports to Utilize for Pass Thru and Non Thru Pass Thru Course Fees.</w:t>
      </w:r>
    </w:p>
    <w:p w:rsidR="00E87955" w:rsidRDefault="00E87955" w:rsidP="00E87955">
      <w:pPr>
        <w:pStyle w:val="NormalWeb"/>
        <w:spacing w:after="120" w:afterAutospacing="0"/>
        <w:ind w:left="720"/>
        <w:rPr>
          <w:rFonts w:ascii="Arial" w:hAnsi="Arial" w:cs="Arial"/>
          <w:i/>
        </w:rPr>
      </w:pPr>
      <w:r w:rsidRPr="00896960">
        <w:rPr>
          <w:rFonts w:ascii="Arial" w:hAnsi="Arial" w:cs="Arial"/>
          <w:i/>
        </w:rPr>
        <w:t>To access these additional reports, logon through My VU and select the employee tab and then the Employee link.  Select Schedule Reports to view the Course Fee and Attribute Reports.  These reports display the mapping of the data behind the course fees</w:t>
      </w:r>
      <w:r>
        <w:rPr>
          <w:rFonts w:ascii="Arial" w:hAnsi="Arial" w:cs="Arial"/>
          <w:i/>
        </w:rPr>
        <w:t xml:space="preserve">.     </w:t>
      </w:r>
    </w:p>
    <w:p w:rsidR="00C85235" w:rsidRDefault="00C85235" w:rsidP="00C85235">
      <w:pPr>
        <w:pStyle w:val="ListParagraph"/>
        <w:rPr>
          <w:rFonts w:ascii="Arial" w:eastAsia="Calibri" w:hAnsi="Arial" w:cs="Arial"/>
          <w:i/>
          <w:sz w:val="24"/>
          <w:szCs w:val="24"/>
          <w:highlight w:val="red"/>
        </w:rPr>
      </w:pPr>
    </w:p>
    <w:p w:rsidR="00C85235" w:rsidRDefault="00C85235" w:rsidP="00C85235">
      <w:pPr>
        <w:pStyle w:val="ListParagraph"/>
        <w:rPr>
          <w:rFonts w:ascii="Arial" w:eastAsia="Calibri" w:hAnsi="Arial" w:cs="Arial"/>
          <w:i/>
          <w:sz w:val="24"/>
          <w:szCs w:val="24"/>
          <w:highlight w:val="red"/>
        </w:rPr>
      </w:pPr>
    </w:p>
    <w:p w:rsidR="009B26AF" w:rsidRPr="00FC69B4" w:rsidRDefault="00FC69B4" w:rsidP="00FC69B4">
      <w:pPr>
        <w:pBdr>
          <w:bottom w:val="single" w:sz="4" w:space="1" w:color="auto"/>
        </w:pBdr>
        <w:rPr>
          <w:rFonts w:ascii="Arial" w:hAnsi="Arial" w:cs="Arial"/>
          <w:b/>
          <w:color w:val="1F497D" w:themeColor="text2"/>
          <w:sz w:val="24"/>
          <w:szCs w:val="24"/>
        </w:rPr>
      </w:pPr>
      <w:r w:rsidRPr="00FC69B4">
        <w:rPr>
          <w:rFonts w:ascii="Arial" w:hAnsi="Arial" w:cs="Arial"/>
          <w:b/>
          <w:color w:val="1F497D" w:themeColor="text2"/>
          <w:sz w:val="24"/>
          <w:szCs w:val="24"/>
        </w:rPr>
        <w:t xml:space="preserve">How do I budget </w:t>
      </w:r>
      <w:r>
        <w:rPr>
          <w:rFonts w:ascii="Arial" w:hAnsi="Arial" w:cs="Arial"/>
          <w:b/>
          <w:color w:val="1F497D" w:themeColor="text2"/>
          <w:sz w:val="24"/>
          <w:szCs w:val="24"/>
        </w:rPr>
        <w:t xml:space="preserve">for pass thru </w:t>
      </w:r>
      <w:r w:rsidRPr="00FC69B4">
        <w:rPr>
          <w:rFonts w:ascii="Arial" w:hAnsi="Arial" w:cs="Arial"/>
          <w:b/>
          <w:color w:val="1F497D" w:themeColor="text2"/>
          <w:sz w:val="24"/>
          <w:szCs w:val="24"/>
        </w:rPr>
        <w:t>fees?</w:t>
      </w:r>
    </w:p>
    <w:p w:rsidR="009B26AF" w:rsidRPr="00FC69B4" w:rsidRDefault="00FC69B4" w:rsidP="00FC69B4">
      <w:pPr>
        <w:pStyle w:val="ListParagraph"/>
        <w:numPr>
          <w:ilvl w:val="0"/>
          <w:numId w:val="21"/>
        </w:numPr>
        <w:rPr>
          <w:rFonts w:ascii="Arial" w:hAnsi="Arial" w:cs="Arial"/>
          <w:i/>
          <w:sz w:val="24"/>
          <w:szCs w:val="24"/>
        </w:rPr>
      </w:pPr>
      <w:r>
        <w:rPr>
          <w:rFonts w:ascii="Arial" w:hAnsi="Arial" w:cs="Arial"/>
          <w:i/>
          <w:sz w:val="24"/>
          <w:szCs w:val="24"/>
        </w:rPr>
        <w:t>An email should be sent to Tim Eaton in the Budget Office with a budget amount. These funds/orgs  (12XXX – 2230)  need to be budgeted every year.</w:t>
      </w:r>
    </w:p>
    <w:p w:rsidR="009B26AF" w:rsidRDefault="009B26AF">
      <w:pPr>
        <w:rPr>
          <w:rFonts w:ascii="Arial" w:hAnsi="Arial" w:cs="Arial"/>
          <w:i/>
          <w:sz w:val="24"/>
          <w:szCs w:val="24"/>
        </w:rPr>
      </w:pPr>
    </w:p>
    <w:p w:rsidR="009B26AF" w:rsidRDefault="009B26AF">
      <w:pPr>
        <w:rPr>
          <w:rFonts w:ascii="Arial" w:hAnsi="Arial" w:cs="Arial"/>
          <w:i/>
          <w:sz w:val="24"/>
          <w:szCs w:val="24"/>
        </w:rPr>
      </w:pPr>
    </w:p>
    <w:p w:rsidR="009B26AF" w:rsidRPr="00FC69B4" w:rsidRDefault="009B26AF" w:rsidP="00FC69B4">
      <w:pPr>
        <w:rPr>
          <w:rFonts w:ascii="Arial" w:hAnsi="Arial" w:cs="Arial"/>
          <w:i/>
          <w:sz w:val="24"/>
          <w:szCs w:val="24"/>
          <w:highlight w:val="red"/>
        </w:rPr>
      </w:pPr>
    </w:p>
    <w:p w:rsidR="009B26AF" w:rsidRDefault="009B26AF">
      <w:pPr>
        <w:rPr>
          <w:rFonts w:ascii="Arial" w:hAnsi="Arial" w:cs="Arial"/>
          <w:i/>
          <w:sz w:val="24"/>
          <w:szCs w:val="24"/>
          <w:highlight w:val="red"/>
        </w:rPr>
      </w:pPr>
    </w:p>
    <w:p w:rsidR="009B26AF" w:rsidRPr="00FC69B4" w:rsidRDefault="00FC69B4" w:rsidP="00FC69B4">
      <w:pPr>
        <w:pStyle w:val="NormalWeb"/>
        <w:pBdr>
          <w:bottom w:val="single" w:sz="4" w:space="1" w:color="auto"/>
        </w:pBdr>
        <w:spacing w:after="120" w:afterAutospacing="0"/>
        <w:rPr>
          <w:rFonts w:ascii="Arial" w:hAnsi="Arial" w:cs="Arial"/>
          <w:b/>
          <w:color w:val="1F497D" w:themeColor="text2"/>
        </w:rPr>
      </w:pPr>
      <w:r w:rsidRPr="00FC69B4">
        <w:rPr>
          <w:rFonts w:ascii="Arial" w:hAnsi="Arial" w:cs="Arial"/>
          <w:b/>
          <w:color w:val="1F497D" w:themeColor="text2"/>
        </w:rPr>
        <w:lastRenderedPageBreak/>
        <w:t>Where are the Travel Policy/Forms located?</w:t>
      </w:r>
    </w:p>
    <w:p w:rsidR="00D43E7F" w:rsidRDefault="003A6E68" w:rsidP="00FC69B4">
      <w:pPr>
        <w:pStyle w:val="ListParagraph"/>
        <w:numPr>
          <w:ilvl w:val="0"/>
          <w:numId w:val="22"/>
        </w:numPr>
        <w:autoSpaceDE w:val="0"/>
        <w:autoSpaceDN w:val="0"/>
        <w:adjustRightInd w:val="0"/>
        <w:spacing w:after="0" w:line="240" w:lineRule="auto"/>
        <w:rPr>
          <w:rFonts w:ascii="Helv" w:hAnsi="Helv" w:cs="Helv"/>
          <w:i/>
          <w:color w:val="000000"/>
          <w:sz w:val="24"/>
          <w:szCs w:val="24"/>
        </w:rPr>
      </w:pPr>
      <w:r w:rsidRPr="00FC69B4">
        <w:rPr>
          <w:rFonts w:ascii="Helv" w:hAnsi="Helv" w:cs="Helv"/>
          <w:i/>
          <w:color w:val="000000"/>
          <w:sz w:val="24"/>
          <w:szCs w:val="24"/>
        </w:rPr>
        <w:t>The travel policies and forms are located under the Controller’s webpage.  Select the Accounting tab and then the Accounts Payable link.  The Policy and Procedures tab contains the Travel Policy and the Travel Procedures and the Forms tab contains the Travel Voucher form.   The Accounts Payable will forward the Travel Voucher form back to the department if a receipt is missing or the form has not been completed correctly.    Please contact the Accounts Payable Department if you have questions pertaining to the completion of the Travel Voucher form or questions regarding the travel policy.</w:t>
      </w:r>
    </w:p>
    <w:p w:rsidR="00396B40" w:rsidRPr="00FC69B4" w:rsidRDefault="00396B40" w:rsidP="00396B40">
      <w:pPr>
        <w:pStyle w:val="ListParagraph"/>
        <w:autoSpaceDE w:val="0"/>
        <w:autoSpaceDN w:val="0"/>
        <w:adjustRightInd w:val="0"/>
        <w:spacing w:after="0" w:line="240" w:lineRule="auto"/>
        <w:rPr>
          <w:rFonts w:ascii="Helv" w:hAnsi="Helv" w:cs="Helv"/>
          <w:i/>
          <w:color w:val="000000"/>
          <w:sz w:val="24"/>
          <w:szCs w:val="24"/>
        </w:rPr>
      </w:pPr>
    </w:p>
    <w:p w:rsidR="003A6E68" w:rsidRPr="00D40B47" w:rsidRDefault="003A6E68" w:rsidP="009B26AF">
      <w:pPr>
        <w:pStyle w:val="ListParagraph"/>
        <w:autoSpaceDE w:val="0"/>
        <w:autoSpaceDN w:val="0"/>
        <w:adjustRightInd w:val="0"/>
        <w:spacing w:after="0" w:line="240" w:lineRule="auto"/>
        <w:rPr>
          <w:rFonts w:ascii="Helv" w:hAnsi="Helv" w:cs="Helv"/>
          <w:i/>
          <w:color w:val="000000"/>
          <w:sz w:val="16"/>
          <w:szCs w:val="16"/>
        </w:rPr>
      </w:pPr>
    </w:p>
    <w:p w:rsidR="00D43E7F" w:rsidRPr="00FC69B4" w:rsidRDefault="00633979" w:rsidP="00FC69B4">
      <w:pPr>
        <w:pBdr>
          <w:bottom w:val="single" w:sz="4" w:space="1" w:color="auto"/>
        </w:pBdr>
        <w:autoSpaceDE w:val="0"/>
        <w:autoSpaceDN w:val="0"/>
        <w:adjustRightInd w:val="0"/>
        <w:spacing w:after="0" w:line="240" w:lineRule="auto"/>
        <w:rPr>
          <w:rFonts w:ascii="Arial" w:hAnsi="Arial" w:cs="Arial"/>
          <w:b/>
          <w:color w:val="1F497D" w:themeColor="text2"/>
          <w:sz w:val="24"/>
          <w:szCs w:val="24"/>
        </w:rPr>
      </w:pPr>
      <w:r w:rsidRPr="00FC69B4">
        <w:rPr>
          <w:rFonts w:ascii="Arial" w:hAnsi="Arial" w:cs="Arial"/>
          <w:b/>
          <w:color w:val="1F497D" w:themeColor="text2"/>
          <w:sz w:val="24"/>
          <w:szCs w:val="24"/>
        </w:rPr>
        <w:t>How to know if an I</w:t>
      </w:r>
      <w:r w:rsidR="00D43E7F" w:rsidRPr="00FC69B4">
        <w:rPr>
          <w:rFonts w:ascii="Arial" w:hAnsi="Arial" w:cs="Arial"/>
          <w:b/>
          <w:color w:val="1F497D" w:themeColor="text2"/>
          <w:sz w:val="24"/>
          <w:szCs w:val="24"/>
        </w:rPr>
        <w:t xml:space="preserve">nvoice with a </w:t>
      </w:r>
      <w:r w:rsidRPr="00FC69B4">
        <w:rPr>
          <w:rFonts w:ascii="Arial" w:hAnsi="Arial" w:cs="Arial"/>
          <w:b/>
          <w:color w:val="1F497D" w:themeColor="text2"/>
          <w:sz w:val="24"/>
          <w:szCs w:val="24"/>
        </w:rPr>
        <w:t>Purchase O</w:t>
      </w:r>
      <w:r w:rsidR="003C4783" w:rsidRPr="00FC69B4">
        <w:rPr>
          <w:rFonts w:ascii="Arial" w:hAnsi="Arial" w:cs="Arial"/>
          <w:b/>
          <w:color w:val="1F497D" w:themeColor="text2"/>
          <w:sz w:val="24"/>
          <w:szCs w:val="24"/>
        </w:rPr>
        <w:t>rder has been paid</w:t>
      </w:r>
      <w:r w:rsidR="00D43E7F" w:rsidRPr="00FC69B4">
        <w:rPr>
          <w:rFonts w:ascii="Arial" w:hAnsi="Arial" w:cs="Arial"/>
          <w:b/>
          <w:color w:val="1F497D" w:themeColor="text2"/>
          <w:sz w:val="24"/>
          <w:szCs w:val="24"/>
        </w:rPr>
        <w:t xml:space="preserve"> on Banner Finance Self Service</w:t>
      </w:r>
      <w:r w:rsidR="00FC69B4">
        <w:rPr>
          <w:rFonts w:ascii="Arial" w:hAnsi="Arial" w:cs="Arial"/>
          <w:b/>
          <w:color w:val="1F497D" w:themeColor="text2"/>
          <w:sz w:val="24"/>
          <w:szCs w:val="24"/>
        </w:rPr>
        <w:t>?</w:t>
      </w:r>
    </w:p>
    <w:p w:rsidR="00A7070C" w:rsidRPr="00D40B47" w:rsidRDefault="00A7070C" w:rsidP="00A7070C">
      <w:pPr>
        <w:pStyle w:val="ListParagraph"/>
        <w:autoSpaceDE w:val="0"/>
        <w:autoSpaceDN w:val="0"/>
        <w:adjustRightInd w:val="0"/>
        <w:spacing w:after="0" w:line="240" w:lineRule="auto"/>
        <w:rPr>
          <w:rFonts w:ascii="Helv" w:hAnsi="Helv" w:cs="Helv"/>
          <w:color w:val="000000"/>
          <w:sz w:val="16"/>
          <w:szCs w:val="16"/>
        </w:rPr>
      </w:pPr>
    </w:p>
    <w:p w:rsidR="00A7070C" w:rsidRPr="00FC69B4" w:rsidRDefault="00A7070C" w:rsidP="00FC69B4">
      <w:pPr>
        <w:pStyle w:val="ListParagraph"/>
        <w:numPr>
          <w:ilvl w:val="0"/>
          <w:numId w:val="23"/>
        </w:numPr>
        <w:autoSpaceDE w:val="0"/>
        <w:autoSpaceDN w:val="0"/>
        <w:adjustRightInd w:val="0"/>
        <w:spacing w:after="0" w:line="240" w:lineRule="auto"/>
        <w:rPr>
          <w:rFonts w:ascii="Helv" w:hAnsi="Helv" w:cs="Helv"/>
          <w:i/>
          <w:color w:val="000000"/>
          <w:sz w:val="24"/>
          <w:szCs w:val="24"/>
        </w:rPr>
      </w:pPr>
      <w:r w:rsidRPr="00FC69B4">
        <w:rPr>
          <w:rFonts w:ascii="Helv" w:hAnsi="Helv" w:cs="Helv"/>
          <w:i/>
          <w:color w:val="000000"/>
          <w:sz w:val="24"/>
          <w:szCs w:val="24"/>
        </w:rPr>
        <w:t>Access Finance Self Service and select the View Document Link (instructions of how to log on the Self Service is located</w:t>
      </w:r>
      <w:r w:rsidRPr="00FC69B4">
        <w:rPr>
          <w:rFonts w:ascii="Arial" w:hAnsi="Arial" w:cs="Arial"/>
          <w:i/>
        </w:rPr>
        <w:t xml:space="preserve"> under the announcements on the Welcome tab from the Controller’s home page.   There is also an on-line training video to view).</w:t>
      </w:r>
    </w:p>
    <w:p w:rsidR="003C4783" w:rsidRPr="00A7070C" w:rsidRDefault="003C4783" w:rsidP="003C4783">
      <w:pPr>
        <w:autoSpaceDE w:val="0"/>
        <w:autoSpaceDN w:val="0"/>
        <w:adjustRightInd w:val="0"/>
        <w:spacing w:after="0" w:line="240" w:lineRule="auto"/>
        <w:rPr>
          <w:rFonts w:ascii="Helv" w:hAnsi="Helv" w:cs="Helv"/>
          <w:i/>
          <w:color w:val="000000"/>
          <w:sz w:val="24"/>
          <w:szCs w:val="24"/>
        </w:rPr>
      </w:pPr>
    </w:p>
    <w:p w:rsidR="003C4783" w:rsidRDefault="00A7070C" w:rsidP="002C3CFC">
      <w:pPr>
        <w:autoSpaceDE w:val="0"/>
        <w:autoSpaceDN w:val="0"/>
        <w:adjustRightInd w:val="0"/>
        <w:spacing w:after="0" w:line="240" w:lineRule="auto"/>
        <w:ind w:left="720"/>
        <w:rPr>
          <w:rFonts w:ascii="Helv" w:hAnsi="Helv" w:cs="Helv"/>
          <w:color w:val="000000"/>
          <w:sz w:val="24"/>
          <w:szCs w:val="24"/>
        </w:rPr>
      </w:pPr>
      <w:r>
        <w:rPr>
          <w:rFonts w:ascii="Helv" w:hAnsi="Helv" w:cs="Helv"/>
          <w:noProof/>
          <w:color w:val="000000"/>
          <w:sz w:val="24"/>
          <w:szCs w:val="24"/>
        </w:rPr>
        <w:drawing>
          <wp:inline distT="0" distB="0" distL="0" distR="0">
            <wp:extent cx="3810000" cy="19716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t="27778" r="4006" b="16880"/>
                    <a:stretch>
                      <a:fillRect/>
                    </a:stretch>
                  </pic:blipFill>
                  <pic:spPr bwMode="auto">
                    <a:xfrm>
                      <a:off x="0" y="0"/>
                      <a:ext cx="3810000" cy="1971675"/>
                    </a:xfrm>
                    <a:prstGeom prst="rect">
                      <a:avLst/>
                    </a:prstGeom>
                    <a:noFill/>
                    <a:ln w="9525">
                      <a:noFill/>
                      <a:miter lim="800000"/>
                      <a:headEnd/>
                      <a:tailEnd/>
                    </a:ln>
                  </pic:spPr>
                </pic:pic>
              </a:graphicData>
            </a:graphic>
          </wp:inline>
        </w:drawing>
      </w:r>
    </w:p>
    <w:p w:rsidR="003C4783" w:rsidRDefault="003C4783" w:rsidP="003C4783">
      <w:pPr>
        <w:autoSpaceDE w:val="0"/>
        <w:autoSpaceDN w:val="0"/>
        <w:adjustRightInd w:val="0"/>
        <w:spacing w:after="0" w:line="240" w:lineRule="auto"/>
        <w:rPr>
          <w:rFonts w:ascii="Helv" w:hAnsi="Helv" w:cs="Helv"/>
          <w:color w:val="000000"/>
          <w:sz w:val="24"/>
          <w:szCs w:val="24"/>
        </w:rPr>
      </w:pPr>
    </w:p>
    <w:p w:rsidR="003C4783" w:rsidRDefault="00A7070C" w:rsidP="003C4783">
      <w:pPr>
        <w:autoSpaceDE w:val="0"/>
        <w:autoSpaceDN w:val="0"/>
        <w:adjustRightInd w:val="0"/>
        <w:spacing w:after="0" w:line="240" w:lineRule="auto"/>
        <w:rPr>
          <w:rFonts w:ascii="Helv" w:hAnsi="Helv" w:cs="Helv"/>
          <w:i/>
          <w:color w:val="000000"/>
          <w:sz w:val="24"/>
          <w:szCs w:val="24"/>
        </w:rPr>
      </w:pPr>
      <w:r>
        <w:rPr>
          <w:rFonts w:ascii="Helv" w:hAnsi="Helv" w:cs="Helv"/>
          <w:color w:val="000000"/>
          <w:sz w:val="24"/>
          <w:szCs w:val="24"/>
        </w:rPr>
        <w:tab/>
      </w:r>
      <w:r w:rsidRPr="00A7070C">
        <w:rPr>
          <w:rFonts w:ascii="Helv" w:hAnsi="Helv" w:cs="Helv"/>
          <w:i/>
          <w:color w:val="000000"/>
          <w:sz w:val="24"/>
          <w:szCs w:val="24"/>
        </w:rPr>
        <w:t>Select View Document and scroll to the bottom of the form.</w:t>
      </w:r>
      <w:r>
        <w:rPr>
          <w:rFonts w:ascii="Helv" w:hAnsi="Helv" w:cs="Helv"/>
          <w:i/>
          <w:color w:val="000000"/>
          <w:sz w:val="24"/>
          <w:szCs w:val="24"/>
        </w:rPr>
        <w:t xml:space="preserve">  The system will </w:t>
      </w:r>
    </w:p>
    <w:p w:rsidR="00A7070C" w:rsidRDefault="00A7070C" w:rsidP="003C4783">
      <w:pPr>
        <w:autoSpaceDE w:val="0"/>
        <w:autoSpaceDN w:val="0"/>
        <w:adjustRightInd w:val="0"/>
        <w:spacing w:after="0" w:line="240" w:lineRule="auto"/>
        <w:rPr>
          <w:rFonts w:ascii="Helv" w:hAnsi="Helv" w:cs="Helv"/>
          <w:i/>
          <w:color w:val="000000"/>
          <w:sz w:val="24"/>
          <w:szCs w:val="24"/>
        </w:rPr>
      </w:pPr>
      <w:r>
        <w:rPr>
          <w:rFonts w:ascii="Helv" w:hAnsi="Helv" w:cs="Helv"/>
          <w:i/>
          <w:color w:val="000000"/>
          <w:sz w:val="24"/>
          <w:szCs w:val="24"/>
        </w:rPr>
        <w:tab/>
        <w:t xml:space="preserve">display the related documents.   If there are multiple invoices, select the specific </w:t>
      </w:r>
    </w:p>
    <w:p w:rsidR="00A7070C" w:rsidRPr="00A7070C" w:rsidRDefault="00A7070C" w:rsidP="003C4783">
      <w:pPr>
        <w:autoSpaceDE w:val="0"/>
        <w:autoSpaceDN w:val="0"/>
        <w:adjustRightInd w:val="0"/>
        <w:spacing w:after="0" w:line="240" w:lineRule="auto"/>
        <w:rPr>
          <w:rFonts w:ascii="Helv" w:hAnsi="Helv" w:cs="Helv"/>
          <w:i/>
          <w:color w:val="000000"/>
          <w:sz w:val="24"/>
          <w:szCs w:val="24"/>
        </w:rPr>
      </w:pPr>
      <w:r>
        <w:rPr>
          <w:rFonts w:ascii="Helv" w:hAnsi="Helv" w:cs="Helv"/>
          <w:i/>
          <w:color w:val="000000"/>
          <w:sz w:val="24"/>
          <w:szCs w:val="24"/>
        </w:rPr>
        <w:tab/>
        <w:t>invo</w:t>
      </w:r>
      <w:r w:rsidR="00D40B47">
        <w:rPr>
          <w:rFonts w:ascii="Helv" w:hAnsi="Helv" w:cs="Helv"/>
          <w:i/>
          <w:color w:val="000000"/>
          <w:sz w:val="24"/>
          <w:szCs w:val="24"/>
        </w:rPr>
        <w:t>ice to display the related check number.</w:t>
      </w:r>
    </w:p>
    <w:p w:rsidR="003C4783" w:rsidRPr="00A7070C" w:rsidRDefault="003C4783" w:rsidP="003C4783">
      <w:pPr>
        <w:autoSpaceDE w:val="0"/>
        <w:autoSpaceDN w:val="0"/>
        <w:adjustRightInd w:val="0"/>
        <w:spacing w:after="0" w:line="240" w:lineRule="auto"/>
        <w:rPr>
          <w:rFonts w:ascii="Helv" w:hAnsi="Helv" w:cs="Helv"/>
          <w:i/>
          <w:color w:val="000000"/>
          <w:sz w:val="24"/>
          <w:szCs w:val="24"/>
        </w:rPr>
      </w:pPr>
    </w:p>
    <w:p w:rsidR="003C4783" w:rsidRDefault="00A7070C" w:rsidP="003C4783">
      <w:pPr>
        <w:autoSpaceDE w:val="0"/>
        <w:autoSpaceDN w:val="0"/>
        <w:adjustRightInd w:val="0"/>
        <w:spacing w:after="0" w:line="240" w:lineRule="auto"/>
        <w:rPr>
          <w:rFonts w:ascii="Helv" w:hAnsi="Helv" w:cs="Helv"/>
          <w:color w:val="000000"/>
          <w:sz w:val="24"/>
          <w:szCs w:val="24"/>
        </w:rPr>
      </w:pPr>
      <w:r>
        <w:rPr>
          <w:rFonts w:ascii="Helv" w:hAnsi="Helv" w:cs="Helv"/>
          <w:noProof/>
          <w:color w:val="000000"/>
          <w:sz w:val="24"/>
          <w:szCs w:val="24"/>
        </w:rPr>
        <w:drawing>
          <wp:inline distT="0" distB="0" distL="0" distR="0">
            <wp:extent cx="5943600" cy="80010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t="68376" b="13675"/>
                    <a:stretch>
                      <a:fillRect/>
                    </a:stretch>
                  </pic:blipFill>
                  <pic:spPr bwMode="auto">
                    <a:xfrm>
                      <a:off x="0" y="0"/>
                      <a:ext cx="5943600" cy="800100"/>
                    </a:xfrm>
                    <a:prstGeom prst="rect">
                      <a:avLst/>
                    </a:prstGeom>
                    <a:noFill/>
                    <a:ln w="9525">
                      <a:noFill/>
                      <a:miter lim="800000"/>
                      <a:headEnd/>
                      <a:tailEnd/>
                    </a:ln>
                  </pic:spPr>
                </pic:pic>
              </a:graphicData>
            </a:graphic>
          </wp:inline>
        </w:drawing>
      </w:r>
    </w:p>
    <w:p w:rsidR="003C4783" w:rsidRDefault="003C4783" w:rsidP="003C4783">
      <w:pPr>
        <w:autoSpaceDE w:val="0"/>
        <w:autoSpaceDN w:val="0"/>
        <w:adjustRightInd w:val="0"/>
        <w:spacing w:after="0" w:line="240" w:lineRule="auto"/>
        <w:rPr>
          <w:rFonts w:ascii="Helv" w:hAnsi="Helv" w:cs="Helv"/>
          <w:color w:val="000000"/>
          <w:sz w:val="24"/>
          <w:szCs w:val="24"/>
        </w:rPr>
      </w:pPr>
    </w:p>
    <w:p w:rsidR="00E0475D" w:rsidRDefault="00E0475D" w:rsidP="003C4783">
      <w:pPr>
        <w:autoSpaceDE w:val="0"/>
        <w:autoSpaceDN w:val="0"/>
        <w:adjustRightInd w:val="0"/>
        <w:spacing w:after="0" w:line="240" w:lineRule="auto"/>
        <w:rPr>
          <w:rFonts w:ascii="Helv" w:hAnsi="Helv" w:cs="Helv"/>
          <w:color w:val="000000"/>
          <w:sz w:val="24"/>
          <w:szCs w:val="24"/>
        </w:rPr>
      </w:pPr>
    </w:p>
    <w:p w:rsidR="00E0475D" w:rsidRDefault="00E0475D" w:rsidP="003C4783">
      <w:pPr>
        <w:autoSpaceDE w:val="0"/>
        <w:autoSpaceDN w:val="0"/>
        <w:adjustRightInd w:val="0"/>
        <w:spacing w:after="0" w:line="240" w:lineRule="auto"/>
        <w:rPr>
          <w:rFonts w:ascii="Helv" w:hAnsi="Helv" w:cs="Helv"/>
          <w:color w:val="000000"/>
          <w:sz w:val="24"/>
          <w:szCs w:val="24"/>
        </w:rPr>
      </w:pPr>
    </w:p>
    <w:p w:rsidR="00E0475D" w:rsidRDefault="00E0475D" w:rsidP="003C4783">
      <w:pPr>
        <w:autoSpaceDE w:val="0"/>
        <w:autoSpaceDN w:val="0"/>
        <w:adjustRightInd w:val="0"/>
        <w:spacing w:after="0" w:line="240" w:lineRule="auto"/>
        <w:rPr>
          <w:rFonts w:ascii="Helv" w:hAnsi="Helv" w:cs="Helv"/>
          <w:color w:val="000000"/>
          <w:sz w:val="24"/>
          <w:szCs w:val="24"/>
        </w:rPr>
      </w:pPr>
    </w:p>
    <w:p w:rsidR="00E0475D" w:rsidRDefault="00E0475D" w:rsidP="003C4783">
      <w:pPr>
        <w:autoSpaceDE w:val="0"/>
        <w:autoSpaceDN w:val="0"/>
        <w:adjustRightInd w:val="0"/>
        <w:spacing w:after="0" w:line="240" w:lineRule="auto"/>
        <w:rPr>
          <w:rFonts w:ascii="Helv" w:hAnsi="Helv" w:cs="Helv"/>
          <w:color w:val="000000"/>
          <w:sz w:val="24"/>
          <w:szCs w:val="24"/>
        </w:rPr>
      </w:pPr>
    </w:p>
    <w:p w:rsidR="00E0475D" w:rsidRPr="003C4783" w:rsidRDefault="00E0475D" w:rsidP="003C4783">
      <w:pPr>
        <w:autoSpaceDE w:val="0"/>
        <w:autoSpaceDN w:val="0"/>
        <w:adjustRightInd w:val="0"/>
        <w:spacing w:after="0" w:line="240" w:lineRule="auto"/>
        <w:rPr>
          <w:rFonts w:ascii="Helv" w:hAnsi="Helv" w:cs="Helv"/>
          <w:color w:val="000000"/>
          <w:sz w:val="24"/>
          <w:szCs w:val="24"/>
        </w:rPr>
      </w:pPr>
    </w:p>
    <w:p w:rsidR="00FC69B4" w:rsidRDefault="00FC69B4" w:rsidP="00FC69B4">
      <w:pPr>
        <w:autoSpaceDE w:val="0"/>
        <w:autoSpaceDN w:val="0"/>
        <w:adjustRightInd w:val="0"/>
        <w:spacing w:after="0" w:line="240" w:lineRule="auto"/>
        <w:rPr>
          <w:rFonts w:ascii="Helv" w:hAnsi="Helv" w:cs="Helv"/>
          <w:b/>
          <w:color w:val="1F497D" w:themeColor="text2"/>
          <w:sz w:val="24"/>
          <w:szCs w:val="24"/>
        </w:rPr>
      </w:pPr>
    </w:p>
    <w:p w:rsidR="00FC69B4" w:rsidRDefault="00FC69B4" w:rsidP="00FC69B4">
      <w:pPr>
        <w:autoSpaceDE w:val="0"/>
        <w:autoSpaceDN w:val="0"/>
        <w:adjustRightInd w:val="0"/>
        <w:spacing w:after="0" w:line="240" w:lineRule="auto"/>
        <w:rPr>
          <w:rFonts w:ascii="Helv" w:hAnsi="Helv" w:cs="Helv"/>
          <w:b/>
          <w:color w:val="1F497D" w:themeColor="text2"/>
          <w:sz w:val="24"/>
          <w:szCs w:val="24"/>
        </w:rPr>
      </w:pPr>
    </w:p>
    <w:p w:rsidR="00FC69B4" w:rsidRDefault="00FC69B4" w:rsidP="00FC69B4">
      <w:pPr>
        <w:autoSpaceDE w:val="0"/>
        <w:autoSpaceDN w:val="0"/>
        <w:adjustRightInd w:val="0"/>
        <w:spacing w:after="0" w:line="240" w:lineRule="auto"/>
        <w:rPr>
          <w:rFonts w:ascii="Helv" w:hAnsi="Helv" w:cs="Helv"/>
          <w:b/>
          <w:color w:val="1F497D" w:themeColor="text2"/>
          <w:sz w:val="24"/>
          <w:szCs w:val="24"/>
        </w:rPr>
      </w:pPr>
    </w:p>
    <w:p w:rsidR="00FC69B4" w:rsidRDefault="00FC69B4" w:rsidP="00FC69B4">
      <w:pPr>
        <w:autoSpaceDE w:val="0"/>
        <w:autoSpaceDN w:val="0"/>
        <w:adjustRightInd w:val="0"/>
        <w:spacing w:after="0" w:line="240" w:lineRule="auto"/>
        <w:rPr>
          <w:rFonts w:ascii="Helv" w:hAnsi="Helv" w:cs="Helv"/>
          <w:b/>
          <w:color w:val="1F497D" w:themeColor="text2"/>
          <w:sz w:val="24"/>
          <w:szCs w:val="24"/>
        </w:rPr>
      </w:pPr>
    </w:p>
    <w:p w:rsidR="0069010A" w:rsidRDefault="0069010A" w:rsidP="00FC69B4">
      <w:pPr>
        <w:autoSpaceDE w:val="0"/>
        <w:autoSpaceDN w:val="0"/>
        <w:adjustRightInd w:val="0"/>
        <w:spacing w:after="0" w:line="240" w:lineRule="auto"/>
        <w:rPr>
          <w:rFonts w:ascii="Helv" w:hAnsi="Helv" w:cs="Helv"/>
          <w:b/>
          <w:color w:val="1F497D" w:themeColor="text2"/>
          <w:sz w:val="24"/>
          <w:szCs w:val="24"/>
        </w:rPr>
      </w:pPr>
    </w:p>
    <w:p w:rsidR="0069010A" w:rsidRDefault="0069010A" w:rsidP="00FC69B4">
      <w:pPr>
        <w:autoSpaceDE w:val="0"/>
        <w:autoSpaceDN w:val="0"/>
        <w:adjustRightInd w:val="0"/>
        <w:spacing w:after="0" w:line="240" w:lineRule="auto"/>
        <w:rPr>
          <w:rFonts w:ascii="Helv" w:hAnsi="Helv" w:cs="Helv"/>
          <w:b/>
          <w:color w:val="1F497D" w:themeColor="text2"/>
          <w:sz w:val="24"/>
          <w:szCs w:val="24"/>
        </w:rPr>
      </w:pPr>
    </w:p>
    <w:p w:rsidR="0069010A" w:rsidRDefault="0069010A" w:rsidP="00FC69B4">
      <w:pPr>
        <w:autoSpaceDE w:val="0"/>
        <w:autoSpaceDN w:val="0"/>
        <w:adjustRightInd w:val="0"/>
        <w:spacing w:after="0" w:line="240" w:lineRule="auto"/>
        <w:rPr>
          <w:rFonts w:ascii="Helv" w:hAnsi="Helv" w:cs="Helv"/>
          <w:b/>
          <w:color w:val="1F497D" w:themeColor="text2"/>
          <w:sz w:val="24"/>
          <w:szCs w:val="24"/>
        </w:rPr>
      </w:pPr>
    </w:p>
    <w:p w:rsidR="00D43E7F" w:rsidRDefault="00FC69B4" w:rsidP="00FC69B4">
      <w:pPr>
        <w:pBdr>
          <w:bottom w:val="single" w:sz="4" w:space="1" w:color="auto"/>
        </w:pBdr>
        <w:autoSpaceDE w:val="0"/>
        <w:autoSpaceDN w:val="0"/>
        <w:adjustRightInd w:val="0"/>
        <w:spacing w:after="0" w:line="240" w:lineRule="auto"/>
        <w:rPr>
          <w:rFonts w:ascii="Helv" w:hAnsi="Helv" w:cs="Helv"/>
          <w:b/>
          <w:color w:val="1F497D" w:themeColor="text2"/>
          <w:sz w:val="24"/>
          <w:szCs w:val="24"/>
        </w:rPr>
      </w:pPr>
      <w:r w:rsidRPr="00FC69B4">
        <w:rPr>
          <w:rFonts w:ascii="Helv" w:hAnsi="Helv" w:cs="Helv"/>
          <w:b/>
          <w:color w:val="1F497D" w:themeColor="text2"/>
          <w:sz w:val="24"/>
          <w:szCs w:val="24"/>
        </w:rPr>
        <w:t>Why is it important to get a W-9 for New Vendors?</w:t>
      </w:r>
    </w:p>
    <w:p w:rsidR="00FC69B4" w:rsidRPr="00FC69B4" w:rsidRDefault="00FC69B4" w:rsidP="00FC69B4">
      <w:pPr>
        <w:pBdr>
          <w:bottom w:val="single" w:sz="4" w:space="1" w:color="auto"/>
        </w:pBdr>
        <w:autoSpaceDE w:val="0"/>
        <w:autoSpaceDN w:val="0"/>
        <w:adjustRightInd w:val="0"/>
        <w:spacing w:after="0" w:line="240" w:lineRule="auto"/>
        <w:rPr>
          <w:rFonts w:ascii="Helv" w:hAnsi="Helv" w:cs="Helv"/>
          <w:b/>
          <w:color w:val="1F497D" w:themeColor="text2"/>
          <w:sz w:val="24"/>
          <w:szCs w:val="24"/>
        </w:rPr>
      </w:pPr>
    </w:p>
    <w:p w:rsidR="009B26AF" w:rsidRPr="00D40B47" w:rsidRDefault="009B26AF" w:rsidP="009B26AF">
      <w:pPr>
        <w:pStyle w:val="ListParagraph"/>
        <w:rPr>
          <w:rFonts w:ascii="Arial" w:hAnsi="Arial" w:cs="Arial"/>
          <w:i/>
          <w:sz w:val="16"/>
          <w:szCs w:val="16"/>
          <w:highlight w:val="red"/>
        </w:rPr>
      </w:pPr>
    </w:p>
    <w:p w:rsidR="000F7586" w:rsidRPr="00FC69B4" w:rsidRDefault="002C3CFC" w:rsidP="00FC69B4">
      <w:pPr>
        <w:pStyle w:val="ListParagraph"/>
        <w:numPr>
          <w:ilvl w:val="0"/>
          <w:numId w:val="25"/>
        </w:numPr>
        <w:rPr>
          <w:rFonts w:ascii="Arial" w:hAnsi="Arial" w:cs="Arial"/>
          <w:i/>
          <w:sz w:val="24"/>
          <w:szCs w:val="24"/>
        </w:rPr>
      </w:pPr>
      <w:r w:rsidRPr="00FC69B4">
        <w:rPr>
          <w:rFonts w:ascii="Arial" w:hAnsi="Arial" w:cs="Arial"/>
          <w:i/>
          <w:sz w:val="24"/>
          <w:szCs w:val="24"/>
        </w:rPr>
        <w:t xml:space="preserve">The purpose of completing the W-9 allows the University to </w:t>
      </w:r>
      <w:r w:rsidR="00FE7DD1" w:rsidRPr="00FC69B4">
        <w:rPr>
          <w:rFonts w:ascii="Arial" w:hAnsi="Arial" w:cs="Arial"/>
          <w:i/>
          <w:sz w:val="24"/>
          <w:szCs w:val="24"/>
        </w:rPr>
        <w:t xml:space="preserve">properly report and analyze vendor activity </w:t>
      </w:r>
      <w:r w:rsidRPr="00FC69B4">
        <w:rPr>
          <w:rFonts w:ascii="Arial" w:hAnsi="Arial" w:cs="Arial"/>
          <w:i/>
          <w:sz w:val="24"/>
          <w:szCs w:val="24"/>
        </w:rPr>
        <w:t>if the vendor has had a name change or the owner of the vendor has changed.   This also allows the Universit</w:t>
      </w:r>
      <w:r w:rsidR="00F10458" w:rsidRPr="00FC69B4">
        <w:rPr>
          <w:rFonts w:ascii="Arial" w:hAnsi="Arial" w:cs="Arial"/>
          <w:i/>
          <w:sz w:val="24"/>
          <w:szCs w:val="24"/>
        </w:rPr>
        <w:t>y to properly produce 1099’s</w:t>
      </w:r>
      <w:r w:rsidR="00854302" w:rsidRPr="00FC69B4">
        <w:rPr>
          <w:rFonts w:ascii="Arial" w:hAnsi="Arial" w:cs="Arial"/>
          <w:i/>
          <w:sz w:val="24"/>
          <w:szCs w:val="24"/>
        </w:rPr>
        <w:t xml:space="preserve"> to selected vendors</w:t>
      </w:r>
      <w:r w:rsidR="00F10458" w:rsidRPr="00FC69B4">
        <w:rPr>
          <w:rFonts w:ascii="Arial" w:hAnsi="Arial" w:cs="Arial"/>
          <w:i/>
          <w:sz w:val="24"/>
          <w:szCs w:val="24"/>
        </w:rPr>
        <w:t xml:space="preserve"> as required by the IRS.</w:t>
      </w:r>
      <w:r w:rsidR="00FC69B4" w:rsidRPr="00FC69B4">
        <w:rPr>
          <w:rFonts w:ascii="Arial" w:hAnsi="Arial" w:cs="Arial"/>
          <w:i/>
          <w:sz w:val="24"/>
          <w:szCs w:val="24"/>
        </w:rPr>
        <w:t xml:space="preserve"> The W-9 is located on the Forms tab under the Accounts Payable link and the Procurement tab-Purchasing link.</w:t>
      </w:r>
    </w:p>
    <w:p w:rsidR="005A49D6" w:rsidRDefault="005A49D6" w:rsidP="000D1A8F">
      <w:pPr>
        <w:rPr>
          <w:rFonts w:ascii="Arial" w:hAnsi="Arial" w:cs="Arial"/>
          <w:i/>
          <w:sz w:val="24"/>
          <w:szCs w:val="24"/>
        </w:rPr>
      </w:pPr>
    </w:p>
    <w:p w:rsidR="005A49D6" w:rsidRPr="00396B40" w:rsidRDefault="00BE20DB" w:rsidP="00396B40">
      <w:pPr>
        <w:pStyle w:val="NormalWeb"/>
        <w:pBdr>
          <w:bottom w:val="single" w:sz="4" w:space="1" w:color="auto"/>
        </w:pBdr>
        <w:spacing w:after="120" w:afterAutospacing="0"/>
        <w:rPr>
          <w:rFonts w:ascii="Arial" w:hAnsi="Arial" w:cs="Arial"/>
          <w:b/>
          <w:color w:val="1F497D" w:themeColor="text2"/>
        </w:rPr>
      </w:pPr>
      <w:r w:rsidRPr="00396B40">
        <w:rPr>
          <w:rFonts w:ascii="Arial" w:hAnsi="Arial" w:cs="Arial"/>
          <w:b/>
          <w:color w:val="1F497D" w:themeColor="text2"/>
        </w:rPr>
        <w:t xml:space="preserve">How do I know when </w:t>
      </w:r>
      <w:r w:rsidR="00150A06">
        <w:rPr>
          <w:rFonts w:ascii="Arial" w:hAnsi="Arial" w:cs="Arial"/>
          <w:b/>
          <w:color w:val="1F497D" w:themeColor="text2"/>
        </w:rPr>
        <w:t xml:space="preserve">a </w:t>
      </w:r>
      <w:r w:rsidRPr="00396B40">
        <w:rPr>
          <w:rFonts w:ascii="Arial" w:hAnsi="Arial" w:cs="Arial"/>
          <w:b/>
          <w:color w:val="1F497D" w:themeColor="text2"/>
        </w:rPr>
        <w:t>purchase does not require a purchase order and what paperwork do I submit</w:t>
      </w:r>
      <w:r w:rsidR="005A49D6" w:rsidRPr="00396B40">
        <w:rPr>
          <w:rFonts w:ascii="Arial" w:hAnsi="Arial" w:cs="Arial"/>
          <w:b/>
          <w:color w:val="1F497D" w:themeColor="text2"/>
        </w:rPr>
        <w:t>?</w:t>
      </w:r>
    </w:p>
    <w:p w:rsidR="005A49D6" w:rsidRDefault="00BE20DB" w:rsidP="00396B40">
      <w:pPr>
        <w:pStyle w:val="ListParagraph"/>
        <w:numPr>
          <w:ilvl w:val="0"/>
          <w:numId w:val="26"/>
        </w:numPr>
        <w:autoSpaceDE w:val="0"/>
        <w:autoSpaceDN w:val="0"/>
        <w:adjustRightInd w:val="0"/>
        <w:spacing w:after="0" w:line="240" w:lineRule="auto"/>
        <w:rPr>
          <w:rFonts w:ascii="Helv" w:hAnsi="Helv" w:cs="Helv"/>
          <w:i/>
          <w:color w:val="000000"/>
          <w:sz w:val="24"/>
          <w:szCs w:val="24"/>
        </w:rPr>
      </w:pPr>
      <w:r>
        <w:rPr>
          <w:rFonts w:ascii="Helv" w:hAnsi="Helv" w:cs="Helv"/>
          <w:i/>
          <w:color w:val="000000"/>
          <w:sz w:val="24"/>
          <w:szCs w:val="24"/>
        </w:rPr>
        <w:t>To view Procurement policies, select the Controller’s webpage and then select the Purchasing link.   From this link, select the Policy/Procedures tab and select the Purchases Not Involving Purchase Orders link.</w:t>
      </w:r>
    </w:p>
    <w:p w:rsidR="003C4783" w:rsidRPr="00E0475D" w:rsidRDefault="003C4783" w:rsidP="00E0475D">
      <w:pPr>
        <w:autoSpaceDE w:val="0"/>
        <w:autoSpaceDN w:val="0"/>
        <w:adjustRightInd w:val="0"/>
        <w:spacing w:after="0" w:line="240" w:lineRule="auto"/>
        <w:rPr>
          <w:rFonts w:ascii="Helv" w:hAnsi="Helv" w:cs="Helv"/>
          <w:i/>
          <w:color w:val="000000"/>
          <w:sz w:val="24"/>
          <w:szCs w:val="24"/>
        </w:rPr>
      </w:pPr>
    </w:p>
    <w:p w:rsidR="00C81D19" w:rsidRDefault="00C81D19" w:rsidP="00C81D19">
      <w:pPr>
        <w:autoSpaceDE w:val="0"/>
        <w:autoSpaceDN w:val="0"/>
        <w:adjustRightInd w:val="0"/>
        <w:spacing w:after="0" w:line="240" w:lineRule="auto"/>
        <w:rPr>
          <w:rFonts w:ascii="Helv" w:hAnsi="Helv" w:cs="Helv"/>
          <w:color w:val="000000"/>
          <w:sz w:val="24"/>
          <w:szCs w:val="24"/>
        </w:rPr>
      </w:pPr>
    </w:p>
    <w:p w:rsidR="00C81D19" w:rsidRDefault="00C81D19" w:rsidP="00C81D19">
      <w:pPr>
        <w:autoSpaceDE w:val="0"/>
        <w:autoSpaceDN w:val="0"/>
        <w:adjustRightInd w:val="0"/>
        <w:spacing w:after="0" w:line="240" w:lineRule="auto"/>
        <w:rPr>
          <w:rFonts w:ascii="Helv" w:hAnsi="Helv" w:cs="Helv"/>
          <w:color w:val="000000"/>
          <w:sz w:val="24"/>
          <w:szCs w:val="24"/>
        </w:rPr>
      </w:pPr>
    </w:p>
    <w:p w:rsidR="00C81D19" w:rsidRPr="00C81D19" w:rsidRDefault="00C81D19" w:rsidP="00C81D19">
      <w:pPr>
        <w:autoSpaceDE w:val="0"/>
        <w:autoSpaceDN w:val="0"/>
        <w:adjustRightInd w:val="0"/>
        <w:spacing w:after="0" w:line="240" w:lineRule="auto"/>
        <w:rPr>
          <w:rFonts w:ascii="Helv" w:hAnsi="Helv" w:cs="Helv"/>
          <w:color w:val="000000"/>
          <w:sz w:val="24"/>
          <w:szCs w:val="24"/>
        </w:rPr>
      </w:pPr>
    </w:p>
    <w:p w:rsidR="00C81D19" w:rsidRPr="00396B40" w:rsidRDefault="00396B40" w:rsidP="00396B40">
      <w:pPr>
        <w:pBdr>
          <w:bottom w:val="single" w:sz="4" w:space="1" w:color="auto"/>
        </w:pBdr>
        <w:autoSpaceDE w:val="0"/>
        <w:autoSpaceDN w:val="0"/>
        <w:adjustRightInd w:val="0"/>
        <w:spacing w:after="0" w:line="240" w:lineRule="auto"/>
        <w:rPr>
          <w:rFonts w:ascii="Helv" w:hAnsi="Helv" w:cs="Helv"/>
          <w:b/>
          <w:color w:val="1F497D" w:themeColor="text2"/>
          <w:sz w:val="24"/>
          <w:szCs w:val="24"/>
        </w:rPr>
      </w:pPr>
      <w:r w:rsidRPr="00396B40">
        <w:rPr>
          <w:rFonts w:ascii="Helv" w:hAnsi="Helv" w:cs="Helv"/>
          <w:b/>
          <w:color w:val="1F497D" w:themeColor="text2"/>
          <w:sz w:val="24"/>
          <w:szCs w:val="24"/>
        </w:rPr>
        <w:t xml:space="preserve">How do I review my </w:t>
      </w:r>
      <w:r w:rsidR="00C81D19" w:rsidRPr="00396B40">
        <w:rPr>
          <w:rFonts w:ascii="Helv" w:hAnsi="Helv" w:cs="Helv"/>
          <w:b/>
          <w:color w:val="1F497D" w:themeColor="text2"/>
          <w:sz w:val="24"/>
          <w:szCs w:val="24"/>
        </w:rPr>
        <w:t>Outstanding Purcha</w:t>
      </w:r>
      <w:r w:rsidRPr="00396B40">
        <w:rPr>
          <w:rFonts w:ascii="Helv" w:hAnsi="Helv" w:cs="Helv"/>
          <w:b/>
          <w:color w:val="1F497D" w:themeColor="text2"/>
          <w:sz w:val="24"/>
          <w:szCs w:val="24"/>
        </w:rPr>
        <w:t>se Orders on Banner Finance?</w:t>
      </w:r>
    </w:p>
    <w:p w:rsidR="007A4FDE" w:rsidRPr="007A4FDE" w:rsidRDefault="007A4FDE" w:rsidP="007A4FDE">
      <w:pPr>
        <w:pStyle w:val="ListParagraph"/>
        <w:autoSpaceDE w:val="0"/>
        <w:autoSpaceDN w:val="0"/>
        <w:adjustRightInd w:val="0"/>
        <w:spacing w:after="0" w:line="240" w:lineRule="auto"/>
        <w:rPr>
          <w:rFonts w:ascii="Helv" w:hAnsi="Helv" w:cs="Helv"/>
          <w:sz w:val="24"/>
          <w:szCs w:val="24"/>
        </w:rPr>
      </w:pPr>
    </w:p>
    <w:p w:rsidR="007A4FDE" w:rsidRPr="007A4FDE" w:rsidRDefault="00396B40" w:rsidP="00396B40">
      <w:pPr>
        <w:pStyle w:val="ListParagraph"/>
        <w:numPr>
          <w:ilvl w:val="0"/>
          <w:numId w:val="27"/>
        </w:numPr>
        <w:autoSpaceDE w:val="0"/>
        <w:autoSpaceDN w:val="0"/>
        <w:adjustRightInd w:val="0"/>
        <w:spacing w:after="0" w:line="240" w:lineRule="auto"/>
        <w:rPr>
          <w:rFonts w:ascii="Helv" w:hAnsi="Helv" w:cs="Helv"/>
          <w:i/>
          <w:sz w:val="24"/>
          <w:szCs w:val="24"/>
        </w:rPr>
      </w:pPr>
      <w:r>
        <w:rPr>
          <w:rFonts w:ascii="Helv" w:hAnsi="Helv" w:cs="Helv"/>
          <w:i/>
          <w:sz w:val="24"/>
          <w:szCs w:val="24"/>
        </w:rPr>
        <w:t xml:space="preserve">From </w:t>
      </w:r>
      <w:r w:rsidRPr="000D1A8F">
        <w:rPr>
          <w:rFonts w:ascii="Helv" w:hAnsi="Helv" w:cs="Helv"/>
          <w:b/>
          <w:i/>
          <w:color w:val="1F497D" w:themeColor="text2"/>
          <w:sz w:val="24"/>
          <w:szCs w:val="24"/>
        </w:rPr>
        <w:t>Banner INB</w:t>
      </w:r>
      <w:r>
        <w:rPr>
          <w:rFonts w:ascii="Helv" w:hAnsi="Helv" w:cs="Helv"/>
          <w:i/>
          <w:sz w:val="24"/>
          <w:szCs w:val="24"/>
        </w:rPr>
        <w:t>, enter</w:t>
      </w:r>
      <w:r w:rsidR="007A4FDE" w:rsidRPr="007A4FDE">
        <w:rPr>
          <w:rFonts w:ascii="Helv" w:hAnsi="Helv" w:cs="Helv"/>
          <w:i/>
          <w:sz w:val="24"/>
          <w:szCs w:val="24"/>
        </w:rPr>
        <w:t xml:space="preserve"> FGIOENC</w:t>
      </w:r>
      <w:r>
        <w:rPr>
          <w:rFonts w:ascii="Helv" w:hAnsi="Helv" w:cs="Helv"/>
          <w:i/>
          <w:sz w:val="24"/>
          <w:szCs w:val="24"/>
        </w:rPr>
        <w:t xml:space="preserve"> in the “Go To” box</w:t>
      </w:r>
      <w:r w:rsidR="007A4FDE" w:rsidRPr="007A4FDE">
        <w:rPr>
          <w:rFonts w:ascii="Helv" w:hAnsi="Helv" w:cs="Helv"/>
          <w:i/>
          <w:sz w:val="24"/>
          <w:szCs w:val="24"/>
        </w:rPr>
        <w:t>, type in fund and org, perform next block function.   You will see a list of all purchase orders with an open balance.</w:t>
      </w:r>
    </w:p>
    <w:p w:rsidR="00966E65" w:rsidRDefault="00966E65" w:rsidP="00966E65">
      <w:pPr>
        <w:ind w:left="720"/>
        <w:rPr>
          <w:rFonts w:ascii="Arial" w:hAnsi="Arial" w:cs="Arial"/>
          <w:i/>
          <w:sz w:val="24"/>
          <w:szCs w:val="24"/>
        </w:rPr>
      </w:pPr>
    </w:p>
    <w:p w:rsidR="00396B40" w:rsidRDefault="00396B40" w:rsidP="00396B40">
      <w:pPr>
        <w:pStyle w:val="ListParagraph"/>
        <w:numPr>
          <w:ilvl w:val="0"/>
          <w:numId w:val="27"/>
        </w:numPr>
        <w:autoSpaceDE w:val="0"/>
        <w:autoSpaceDN w:val="0"/>
        <w:adjustRightInd w:val="0"/>
        <w:spacing w:after="0" w:line="240" w:lineRule="auto"/>
        <w:rPr>
          <w:rFonts w:ascii="Helv" w:hAnsi="Helv" w:cs="Helv"/>
          <w:i/>
          <w:sz w:val="24"/>
          <w:szCs w:val="24"/>
        </w:rPr>
      </w:pPr>
      <w:r>
        <w:rPr>
          <w:rFonts w:ascii="Helv" w:hAnsi="Helv" w:cs="Helv"/>
          <w:i/>
          <w:sz w:val="24"/>
          <w:szCs w:val="24"/>
        </w:rPr>
        <w:t xml:space="preserve">From </w:t>
      </w:r>
      <w:r w:rsidRPr="000D1A8F">
        <w:rPr>
          <w:rFonts w:ascii="Helv" w:hAnsi="Helv" w:cs="Helv"/>
          <w:b/>
          <w:i/>
          <w:color w:val="1F497D" w:themeColor="text2"/>
          <w:sz w:val="24"/>
          <w:szCs w:val="24"/>
        </w:rPr>
        <w:t xml:space="preserve">Banner </w:t>
      </w:r>
      <w:r w:rsidR="0082603A" w:rsidRPr="000D1A8F">
        <w:rPr>
          <w:rFonts w:ascii="Helv" w:hAnsi="Helv" w:cs="Helv"/>
          <w:b/>
          <w:i/>
          <w:color w:val="1F497D" w:themeColor="text2"/>
          <w:sz w:val="24"/>
          <w:szCs w:val="24"/>
        </w:rPr>
        <w:t xml:space="preserve">Finance </w:t>
      </w:r>
      <w:r w:rsidRPr="000D1A8F">
        <w:rPr>
          <w:rFonts w:ascii="Helv" w:hAnsi="Helv" w:cs="Helv"/>
          <w:b/>
          <w:i/>
          <w:color w:val="1F497D" w:themeColor="text2"/>
          <w:sz w:val="24"/>
          <w:szCs w:val="24"/>
        </w:rPr>
        <w:t>Self Service</w:t>
      </w:r>
      <w:r w:rsidR="0082603A">
        <w:rPr>
          <w:rFonts w:ascii="Helv" w:hAnsi="Helv" w:cs="Helv"/>
          <w:i/>
          <w:sz w:val="24"/>
          <w:szCs w:val="24"/>
        </w:rPr>
        <w:t>, select “Encumbrance Query”</w:t>
      </w:r>
      <w:r w:rsidR="000D1A8F">
        <w:rPr>
          <w:rFonts w:ascii="Helv" w:hAnsi="Helv" w:cs="Helv"/>
          <w:i/>
          <w:sz w:val="24"/>
          <w:szCs w:val="24"/>
        </w:rPr>
        <w:t xml:space="preserve"> and</w:t>
      </w:r>
      <w:r w:rsidR="0082603A">
        <w:rPr>
          <w:rFonts w:ascii="Helv" w:hAnsi="Helv" w:cs="Helv"/>
          <w:i/>
          <w:sz w:val="24"/>
          <w:szCs w:val="24"/>
        </w:rPr>
        <w:t xml:space="preserve"> enter the Fiscal Year, Chart of Accounts “C”, </w:t>
      </w:r>
      <w:r w:rsidR="000D1A8F">
        <w:rPr>
          <w:rFonts w:ascii="Helv" w:hAnsi="Helv" w:cs="Helv"/>
          <w:i/>
          <w:sz w:val="24"/>
          <w:szCs w:val="24"/>
        </w:rPr>
        <w:t>Fund and Organization (if you are a grant – only enter the Grant number – not the Fund or Organization) and select Submit Query</w:t>
      </w:r>
      <w:r w:rsidRPr="007A4FDE">
        <w:rPr>
          <w:rFonts w:ascii="Helv" w:hAnsi="Helv" w:cs="Helv"/>
          <w:i/>
          <w:sz w:val="24"/>
          <w:szCs w:val="24"/>
        </w:rPr>
        <w:t>.   You will see a list of all purchase orders with an open balance.</w:t>
      </w:r>
    </w:p>
    <w:p w:rsidR="000D1A8F" w:rsidRPr="000D1A8F" w:rsidRDefault="000D1A8F" w:rsidP="000D1A8F">
      <w:pPr>
        <w:pStyle w:val="ListParagraph"/>
        <w:rPr>
          <w:rFonts w:ascii="Helv" w:hAnsi="Helv" w:cs="Helv"/>
          <w:i/>
          <w:sz w:val="24"/>
          <w:szCs w:val="24"/>
        </w:rPr>
      </w:pPr>
    </w:p>
    <w:p w:rsidR="000D1A8F" w:rsidRPr="007A4FDE" w:rsidRDefault="000D1A8F" w:rsidP="000D1A8F">
      <w:pPr>
        <w:pStyle w:val="ListParagraph"/>
        <w:autoSpaceDE w:val="0"/>
        <w:autoSpaceDN w:val="0"/>
        <w:adjustRightInd w:val="0"/>
        <w:spacing w:after="0" w:line="240" w:lineRule="auto"/>
        <w:rPr>
          <w:rFonts w:ascii="Helv" w:hAnsi="Helv" w:cs="Helv"/>
          <w:i/>
          <w:sz w:val="24"/>
          <w:szCs w:val="24"/>
        </w:rPr>
      </w:pPr>
      <w:r>
        <w:rPr>
          <w:rFonts w:ascii="Helv" w:hAnsi="Helv" w:cs="Helv"/>
          <w:i/>
          <w:noProof/>
          <w:sz w:val="24"/>
          <w:szCs w:val="24"/>
        </w:rPr>
        <w:drawing>
          <wp:inline distT="0" distB="0" distL="0" distR="0">
            <wp:extent cx="5398770" cy="166116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t="47115" r="50160" b="14423"/>
                    <a:stretch>
                      <a:fillRect/>
                    </a:stretch>
                  </pic:blipFill>
                  <pic:spPr bwMode="auto">
                    <a:xfrm>
                      <a:off x="0" y="0"/>
                      <a:ext cx="5398770" cy="1661160"/>
                    </a:xfrm>
                    <a:prstGeom prst="rect">
                      <a:avLst/>
                    </a:prstGeom>
                    <a:noFill/>
                    <a:ln w="9525">
                      <a:noFill/>
                      <a:miter lim="800000"/>
                      <a:headEnd/>
                      <a:tailEnd/>
                    </a:ln>
                  </pic:spPr>
                </pic:pic>
              </a:graphicData>
            </a:graphic>
          </wp:inline>
        </w:drawing>
      </w:r>
    </w:p>
    <w:p w:rsidR="00396B40" w:rsidRDefault="000D1A8F" w:rsidP="00396B40">
      <w:pPr>
        <w:ind w:left="720"/>
        <w:rPr>
          <w:rFonts w:ascii="Arial" w:hAnsi="Arial" w:cs="Arial"/>
          <w:i/>
          <w:sz w:val="24"/>
          <w:szCs w:val="24"/>
        </w:rPr>
      </w:pPr>
      <w:r>
        <w:rPr>
          <w:rFonts w:ascii="Arial" w:hAnsi="Arial" w:cs="Arial"/>
          <w:i/>
          <w:noProof/>
          <w:sz w:val="24"/>
          <w:szCs w:val="24"/>
        </w:rPr>
        <w:lastRenderedPageBreak/>
        <w:drawing>
          <wp:inline distT="0" distB="0" distL="0" distR="0">
            <wp:extent cx="5947410" cy="2592461"/>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t="33975" r="50160" b="11538"/>
                    <a:stretch>
                      <a:fillRect/>
                    </a:stretch>
                  </pic:blipFill>
                  <pic:spPr bwMode="auto">
                    <a:xfrm>
                      <a:off x="0" y="0"/>
                      <a:ext cx="5947410" cy="2592461"/>
                    </a:xfrm>
                    <a:prstGeom prst="rect">
                      <a:avLst/>
                    </a:prstGeom>
                    <a:noFill/>
                    <a:ln w="9525">
                      <a:noFill/>
                      <a:miter lim="800000"/>
                      <a:headEnd/>
                      <a:tailEnd/>
                    </a:ln>
                  </pic:spPr>
                </pic:pic>
              </a:graphicData>
            </a:graphic>
          </wp:inline>
        </w:drawing>
      </w:r>
    </w:p>
    <w:p w:rsidR="000D1A8F" w:rsidRPr="000D1A8F" w:rsidRDefault="000D1A8F" w:rsidP="000D1A8F">
      <w:pPr>
        <w:pBdr>
          <w:bottom w:val="single" w:sz="4" w:space="1" w:color="auto"/>
        </w:pBdr>
        <w:autoSpaceDE w:val="0"/>
        <w:autoSpaceDN w:val="0"/>
        <w:adjustRightInd w:val="0"/>
        <w:spacing w:after="0" w:line="240" w:lineRule="auto"/>
        <w:rPr>
          <w:rFonts w:ascii="Helv" w:hAnsi="Helv" w:cs="Helv"/>
          <w:b/>
          <w:color w:val="1F497D" w:themeColor="text2"/>
          <w:sz w:val="24"/>
          <w:szCs w:val="24"/>
        </w:rPr>
      </w:pPr>
      <w:r w:rsidRPr="000D1A8F">
        <w:rPr>
          <w:rFonts w:ascii="Helv" w:hAnsi="Helv" w:cs="Helv"/>
          <w:b/>
          <w:color w:val="1F497D" w:themeColor="text2"/>
          <w:sz w:val="24"/>
          <w:szCs w:val="24"/>
        </w:rPr>
        <w:t>How do I know what invoices have been processed against a Purchase Order?</w:t>
      </w:r>
    </w:p>
    <w:p w:rsidR="000D1A8F" w:rsidRDefault="000D1A8F" w:rsidP="000D1A8F">
      <w:pPr>
        <w:autoSpaceDE w:val="0"/>
        <w:autoSpaceDN w:val="0"/>
        <w:adjustRightInd w:val="0"/>
        <w:spacing w:after="0" w:line="240" w:lineRule="auto"/>
        <w:rPr>
          <w:rFonts w:ascii="Helv" w:hAnsi="Helv" w:cs="Helv"/>
          <w:color w:val="000000"/>
          <w:sz w:val="24"/>
          <w:szCs w:val="24"/>
        </w:rPr>
      </w:pPr>
    </w:p>
    <w:p w:rsidR="000D1A8F" w:rsidRDefault="000D1A8F" w:rsidP="000D1A8F">
      <w:pPr>
        <w:pStyle w:val="ListParagraph"/>
        <w:numPr>
          <w:ilvl w:val="0"/>
          <w:numId w:val="28"/>
        </w:numPr>
        <w:autoSpaceDE w:val="0"/>
        <w:autoSpaceDN w:val="0"/>
        <w:adjustRightInd w:val="0"/>
        <w:spacing w:after="0" w:line="240" w:lineRule="auto"/>
        <w:rPr>
          <w:rFonts w:ascii="Helv" w:hAnsi="Helv" w:cs="Helv"/>
          <w:i/>
          <w:color w:val="000000"/>
          <w:sz w:val="24"/>
          <w:szCs w:val="24"/>
        </w:rPr>
      </w:pPr>
      <w:r>
        <w:rPr>
          <w:rFonts w:ascii="Helv" w:hAnsi="Helv" w:cs="Helv"/>
          <w:i/>
          <w:color w:val="000000"/>
          <w:sz w:val="24"/>
          <w:szCs w:val="24"/>
        </w:rPr>
        <w:t xml:space="preserve">From </w:t>
      </w:r>
      <w:r w:rsidRPr="000D1A8F">
        <w:rPr>
          <w:rFonts w:ascii="Helv" w:hAnsi="Helv" w:cs="Helv"/>
          <w:b/>
          <w:i/>
          <w:color w:val="1F497D" w:themeColor="text2"/>
          <w:sz w:val="24"/>
          <w:szCs w:val="24"/>
        </w:rPr>
        <w:t>Banner INB</w:t>
      </w:r>
      <w:r>
        <w:rPr>
          <w:rFonts w:ascii="Helv" w:hAnsi="Helv" w:cs="Helv"/>
          <w:i/>
          <w:color w:val="000000"/>
          <w:sz w:val="24"/>
          <w:szCs w:val="24"/>
        </w:rPr>
        <w:t xml:space="preserve">, enter </w:t>
      </w:r>
      <w:r w:rsidRPr="000D1A8F">
        <w:rPr>
          <w:rFonts w:ascii="Helv" w:hAnsi="Helv" w:cs="Helv"/>
          <w:i/>
          <w:color w:val="000000"/>
          <w:sz w:val="24"/>
          <w:szCs w:val="24"/>
        </w:rPr>
        <w:t>FGIENCD</w:t>
      </w:r>
      <w:r>
        <w:rPr>
          <w:rFonts w:ascii="Helv" w:hAnsi="Helv" w:cs="Helv"/>
          <w:i/>
          <w:color w:val="000000"/>
          <w:sz w:val="24"/>
          <w:szCs w:val="24"/>
        </w:rPr>
        <w:t xml:space="preserve"> in the “Go To” box</w:t>
      </w:r>
      <w:r w:rsidRPr="000D1A8F">
        <w:rPr>
          <w:rFonts w:ascii="Helv" w:hAnsi="Helv" w:cs="Helv"/>
          <w:i/>
          <w:color w:val="000000"/>
          <w:sz w:val="24"/>
          <w:szCs w:val="24"/>
        </w:rPr>
        <w:t xml:space="preserve">, type in Purchase Order number you want to review, and </w:t>
      </w:r>
      <w:r>
        <w:rPr>
          <w:rFonts w:ascii="Helv" w:hAnsi="Helv" w:cs="Helv"/>
          <w:i/>
          <w:color w:val="000000"/>
          <w:sz w:val="24"/>
          <w:szCs w:val="24"/>
        </w:rPr>
        <w:t xml:space="preserve">perform next block function.  </w:t>
      </w:r>
      <w:r w:rsidRPr="000D1A8F">
        <w:rPr>
          <w:rFonts w:ascii="Helv" w:hAnsi="Helv" w:cs="Helv"/>
          <w:i/>
          <w:color w:val="000000"/>
          <w:sz w:val="24"/>
          <w:szCs w:val="24"/>
        </w:rPr>
        <w:t>You will see all entries for subject Purchase Order which includes the invoices processed against the Purchase Order.</w:t>
      </w:r>
    </w:p>
    <w:p w:rsidR="000D1A8F" w:rsidRDefault="000D1A8F" w:rsidP="000D1A8F">
      <w:pPr>
        <w:pStyle w:val="ListParagraph"/>
        <w:autoSpaceDE w:val="0"/>
        <w:autoSpaceDN w:val="0"/>
        <w:adjustRightInd w:val="0"/>
        <w:spacing w:after="0" w:line="240" w:lineRule="auto"/>
        <w:rPr>
          <w:rFonts w:ascii="Helv" w:hAnsi="Helv" w:cs="Helv"/>
          <w:i/>
          <w:color w:val="000000"/>
          <w:sz w:val="24"/>
          <w:szCs w:val="24"/>
        </w:rPr>
      </w:pPr>
    </w:p>
    <w:p w:rsidR="000D1A8F" w:rsidRPr="000D1A8F" w:rsidRDefault="000D1A8F" w:rsidP="000D1A8F">
      <w:pPr>
        <w:pStyle w:val="ListParagraph"/>
        <w:numPr>
          <w:ilvl w:val="0"/>
          <w:numId w:val="28"/>
        </w:numPr>
        <w:autoSpaceDE w:val="0"/>
        <w:autoSpaceDN w:val="0"/>
        <w:adjustRightInd w:val="0"/>
        <w:spacing w:after="0" w:line="240" w:lineRule="auto"/>
        <w:rPr>
          <w:rFonts w:ascii="Helv" w:hAnsi="Helv" w:cs="Helv"/>
          <w:i/>
          <w:color w:val="000000"/>
          <w:sz w:val="24"/>
          <w:szCs w:val="24"/>
        </w:rPr>
      </w:pPr>
      <w:r>
        <w:rPr>
          <w:rFonts w:ascii="Helv" w:hAnsi="Helv" w:cs="Helv"/>
          <w:i/>
          <w:sz w:val="24"/>
          <w:szCs w:val="24"/>
        </w:rPr>
        <w:t xml:space="preserve">From </w:t>
      </w:r>
      <w:r w:rsidRPr="000D1A8F">
        <w:rPr>
          <w:rFonts w:ascii="Helv" w:hAnsi="Helv" w:cs="Helv"/>
          <w:b/>
          <w:i/>
          <w:color w:val="1F497D" w:themeColor="text2"/>
          <w:sz w:val="24"/>
          <w:szCs w:val="24"/>
        </w:rPr>
        <w:t>Banner Finance Self Service</w:t>
      </w:r>
      <w:r>
        <w:rPr>
          <w:rFonts w:ascii="Helv" w:hAnsi="Helv" w:cs="Helv"/>
          <w:i/>
          <w:sz w:val="24"/>
          <w:szCs w:val="24"/>
        </w:rPr>
        <w:t>, select “Encumbrance Query” and enter the Fiscal Year, Chart of Accounts “C”, Fund and Organization (if you are a grant – only enter the Grant number – not the Fund or Organization) and select Submit Query</w:t>
      </w:r>
      <w:r w:rsidRPr="007A4FDE">
        <w:rPr>
          <w:rFonts w:ascii="Helv" w:hAnsi="Helv" w:cs="Helv"/>
          <w:i/>
          <w:sz w:val="24"/>
          <w:szCs w:val="24"/>
        </w:rPr>
        <w:t>.   You will see a list of all purchase orders with an open balance</w:t>
      </w:r>
      <w:r>
        <w:rPr>
          <w:rFonts w:ascii="Helv" w:hAnsi="Helv" w:cs="Helv"/>
          <w:i/>
          <w:sz w:val="24"/>
          <w:szCs w:val="24"/>
        </w:rPr>
        <w:t>.  You will use the steps shown above.   Click on the Purchase order number to drill down on the activity.   If you want to see all open and closed purchase orders, select all when querying the activity.</w:t>
      </w:r>
    </w:p>
    <w:p w:rsidR="007A4FDE" w:rsidRPr="00966E65" w:rsidRDefault="00C62329" w:rsidP="00966E65">
      <w:pPr>
        <w:ind w:left="720"/>
        <w:rPr>
          <w:rFonts w:ascii="Arial" w:hAnsi="Arial" w:cs="Arial"/>
          <w:i/>
          <w:sz w:val="24"/>
          <w:szCs w:val="24"/>
        </w:rPr>
      </w:pPr>
      <w:r>
        <w:rPr>
          <w:rFonts w:ascii="Arial" w:hAnsi="Arial" w:cs="Arial"/>
          <w:i/>
          <w:noProof/>
          <w:sz w:val="24"/>
          <w:szCs w:val="24"/>
        </w:rPr>
        <w:pict>
          <v:shapetype id="_x0000_t32" coordsize="21600,21600" o:spt="32" o:oned="t" path="m,l21600,21600e" filled="f">
            <v:path arrowok="t" fillok="f" o:connecttype="none"/>
            <o:lock v:ext="edit" shapetype="t"/>
          </v:shapetype>
          <v:shape id="_x0000_s1026" type="#_x0000_t32" style="position:absolute;left:0;text-align:left;margin-left:144.6pt;margin-top:55.9pt;width:88.2pt;height:.05pt;flip:x;z-index:251658240" o:connectortype="straight">
            <v:stroke endarrow="block"/>
          </v:shape>
        </w:pict>
      </w:r>
      <w:r w:rsidR="000D1A8F">
        <w:rPr>
          <w:rFonts w:ascii="Arial" w:hAnsi="Arial" w:cs="Arial"/>
          <w:i/>
          <w:noProof/>
          <w:sz w:val="24"/>
          <w:szCs w:val="24"/>
        </w:rPr>
        <w:drawing>
          <wp:inline distT="0" distB="0" distL="0" distR="0">
            <wp:extent cx="5490210" cy="300228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t="41026" r="50801" b="12820"/>
                    <a:stretch>
                      <a:fillRect/>
                    </a:stretch>
                  </pic:blipFill>
                  <pic:spPr bwMode="auto">
                    <a:xfrm>
                      <a:off x="0" y="0"/>
                      <a:ext cx="5492491" cy="3003527"/>
                    </a:xfrm>
                    <a:prstGeom prst="rect">
                      <a:avLst/>
                    </a:prstGeom>
                    <a:noFill/>
                    <a:ln w="9525">
                      <a:noFill/>
                      <a:miter lim="800000"/>
                      <a:headEnd/>
                      <a:tailEnd/>
                    </a:ln>
                  </pic:spPr>
                </pic:pic>
              </a:graphicData>
            </a:graphic>
          </wp:inline>
        </w:drawing>
      </w:r>
    </w:p>
    <w:sectPr w:rsidR="007A4FDE" w:rsidRPr="00966E65" w:rsidSect="00D40B47">
      <w:footerReference w:type="default" r:id="rId15"/>
      <w:pgSz w:w="12240" w:h="15840"/>
      <w:pgMar w:top="540" w:right="1440" w:bottom="90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4D7E" w:rsidRDefault="00394D7E" w:rsidP="00774A06">
      <w:pPr>
        <w:spacing w:after="0" w:line="240" w:lineRule="auto"/>
      </w:pPr>
      <w:r>
        <w:separator/>
      </w:r>
    </w:p>
  </w:endnote>
  <w:endnote w:type="continuationSeparator" w:id="0">
    <w:p w:rsidR="00394D7E" w:rsidRDefault="00394D7E" w:rsidP="00774A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619F" w:rsidRDefault="00CC619F">
    <w:pPr>
      <w:pStyle w:val="Footer"/>
      <w:pBdr>
        <w:top w:val="thinThickSmallGap" w:sz="24" w:space="1" w:color="622423" w:themeColor="accent2" w:themeShade="7F"/>
      </w:pBdr>
      <w:rPr>
        <w:rFonts w:asciiTheme="majorHAnsi" w:hAnsiTheme="majorHAnsi"/>
      </w:rPr>
    </w:pPr>
    <w:sdt>
      <w:sdtPr>
        <w:rPr>
          <w:rFonts w:asciiTheme="majorHAnsi" w:hAnsiTheme="majorHAnsi"/>
        </w:rPr>
        <w:id w:val="76027555"/>
        <w:placeholder>
          <w:docPart w:val="737B36631DB14DD9A7782D1B11D8EB87"/>
        </w:placeholder>
        <w:temporary/>
        <w:showingPlcHdr/>
      </w:sdtPr>
      <w:sdtContent>
        <w:r>
          <w:rPr>
            <w:rFonts w:asciiTheme="majorHAnsi" w:hAnsiTheme="majorHAnsi"/>
          </w:rPr>
          <w:t>[Type text]</w:t>
        </w:r>
      </w:sdtContent>
    </w:sdt>
    <w:r>
      <w:rPr>
        <w:rFonts w:asciiTheme="majorHAnsi" w:hAnsiTheme="majorHAnsi"/>
      </w:rPr>
      <w:ptab w:relativeTo="margin" w:alignment="right" w:leader="none"/>
    </w:r>
    <w:r>
      <w:rPr>
        <w:rFonts w:asciiTheme="majorHAnsi" w:hAnsiTheme="majorHAnsi"/>
      </w:rPr>
      <w:t xml:space="preserve">Page </w:t>
    </w:r>
    <w:fldSimple w:instr=" PAGE   \* MERGEFORMAT ">
      <w:r w:rsidR="00150A06" w:rsidRPr="00150A06">
        <w:rPr>
          <w:rFonts w:asciiTheme="majorHAnsi" w:hAnsiTheme="majorHAnsi"/>
          <w:noProof/>
        </w:rPr>
        <w:t>5</w:t>
      </w:r>
    </w:fldSimple>
  </w:p>
  <w:p w:rsidR="00774A06" w:rsidRDefault="00774A0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4D7E" w:rsidRDefault="00394D7E" w:rsidP="00774A06">
      <w:pPr>
        <w:spacing w:after="0" w:line="240" w:lineRule="auto"/>
      </w:pPr>
      <w:r>
        <w:separator/>
      </w:r>
    </w:p>
  </w:footnote>
  <w:footnote w:type="continuationSeparator" w:id="0">
    <w:p w:rsidR="00394D7E" w:rsidRDefault="00394D7E" w:rsidP="00774A0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47CD0"/>
    <w:multiLevelType w:val="hybridMultilevel"/>
    <w:tmpl w:val="00C03AB0"/>
    <w:lvl w:ilvl="0" w:tplc="0409000F">
      <w:start w:val="1"/>
      <w:numFmt w:val="decimal"/>
      <w:lvlText w:val="%1."/>
      <w:lvlJc w:val="left"/>
      <w:pPr>
        <w:tabs>
          <w:tab w:val="num" w:pos="720"/>
        </w:tabs>
        <w:ind w:left="720" w:hanging="360"/>
      </w:pPr>
    </w:lvl>
    <w:lvl w:ilvl="1" w:tplc="1F86C748">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F751D0"/>
    <w:multiLevelType w:val="hybridMultilevel"/>
    <w:tmpl w:val="2B188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C46E88"/>
    <w:multiLevelType w:val="multilevel"/>
    <w:tmpl w:val="717E77D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B31D07"/>
    <w:multiLevelType w:val="hybridMultilevel"/>
    <w:tmpl w:val="A220258C"/>
    <w:lvl w:ilvl="0" w:tplc="9844FC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89172E"/>
    <w:multiLevelType w:val="hybridMultilevel"/>
    <w:tmpl w:val="00C03AB0"/>
    <w:lvl w:ilvl="0" w:tplc="0409000F">
      <w:start w:val="1"/>
      <w:numFmt w:val="decimal"/>
      <w:lvlText w:val="%1."/>
      <w:lvlJc w:val="left"/>
      <w:pPr>
        <w:tabs>
          <w:tab w:val="num" w:pos="720"/>
        </w:tabs>
        <w:ind w:left="720" w:hanging="360"/>
      </w:pPr>
    </w:lvl>
    <w:lvl w:ilvl="1" w:tplc="1F86C748">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4C1648F"/>
    <w:multiLevelType w:val="hybridMultilevel"/>
    <w:tmpl w:val="962E0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11574A"/>
    <w:multiLevelType w:val="hybridMultilevel"/>
    <w:tmpl w:val="F73AE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9646F1"/>
    <w:multiLevelType w:val="hybridMultilevel"/>
    <w:tmpl w:val="206667A4"/>
    <w:lvl w:ilvl="0" w:tplc="9844FC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36514A"/>
    <w:multiLevelType w:val="hybridMultilevel"/>
    <w:tmpl w:val="1512B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845EFC"/>
    <w:multiLevelType w:val="hybridMultilevel"/>
    <w:tmpl w:val="2B188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985D37"/>
    <w:multiLevelType w:val="hybridMultilevel"/>
    <w:tmpl w:val="BB7C2DC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448C7DD8"/>
    <w:multiLevelType w:val="hybridMultilevel"/>
    <w:tmpl w:val="16C6E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315F9F"/>
    <w:multiLevelType w:val="hybridMultilevel"/>
    <w:tmpl w:val="64E04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8FB08D6"/>
    <w:multiLevelType w:val="hybridMultilevel"/>
    <w:tmpl w:val="097AF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31692F"/>
    <w:multiLevelType w:val="hybridMultilevel"/>
    <w:tmpl w:val="7938FA0E"/>
    <w:lvl w:ilvl="0" w:tplc="9844FC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40C148D"/>
    <w:multiLevelType w:val="hybridMultilevel"/>
    <w:tmpl w:val="8E083C3E"/>
    <w:lvl w:ilvl="0" w:tplc="9844FC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4466C4"/>
    <w:multiLevelType w:val="hybridMultilevel"/>
    <w:tmpl w:val="D26AC4CC"/>
    <w:lvl w:ilvl="0" w:tplc="9844FC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A97AD6"/>
    <w:multiLevelType w:val="hybridMultilevel"/>
    <w:tmpl w:val="135E5DD6"/>
    <w:lvl w:ilvl="0" w:tplc="9844FC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8330BA"/>
    <w:multiLevelType w:val="hybridMultilevel"/>
    <w:tmpl w:val="206667A4"/>
    <w:lvl w:ilvl="0" w:tplc="9844FC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93D41F6"/>
    <w:multiLevelType w:val="hybridMultilevel"/>
    <w:tmpl w:val="3DDA2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7C03E0"/>
    <w:multiLevelType w:val="hybridMultilevel"/>
    <w:tmpl w:val="FE803ED8"/>
    <w:lvl w:ilvl="0" w:tplc="9844FC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C747F7"/>
    <w:multiLevelType w:val="hybridMultilevel"/>
    <w:tmpl w:val="53961E0A"/>
    <w:lvl w:ilvl="0" w:tplc="9844FC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A0F0575"/>
    <w:multiLevelType w:val="hybridMultilevel"/>
    <w:tmpl w:val="34446F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BF0250B"/>
    <w:multiLevelType w:val="hybridMultilevel"/>
    <w:tmpl w:val="802E0962"/>
    <w:lvl w:ilvl="0" w:tplc="9844FC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FA25EA1"/>
    <w:multiLevelType w:val="hybridMultilevel"/>
    <w:tmpl w:val="5F166968"/>
    <w:lvl w:ilvl="0" w:tplc="9844FC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4734036"/>
    <w:multiLevelType w:val="hybridMultilevel"/>
    <w:tmpl w:val="EC74A074"/>
    <w:lvl w:ilvl="0" w:tplc="9844FC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9D77BF4"/>
    <w:multiLevelType w:val="hybridMultilevel"/>
    <w:tmpl w:val="00C03AB0"/>
    <w:lvl w:ilvl="0" w:tplc="0409000F">
      <w:start w:val="1"/>
      <w:numFmt w:val="decimal"/>
      <w:lvlText w:val="%1."/>
      <w:lvlJc w:val="left"/>
      <w:pPr>
        <w:tabs>
          <w:tab w:val="num" w:pos="720"/>
        </w:tabs>
        <w:ind w:left="720" w:hanging="360"/>
      </w:pPr>
    </w:lvl>
    <w:lvl w:ilvl="1" w:tplc="1F86C748">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B541B2B"/>
    <w:multiLevelType w:val="hybridMultilevel"/>
    <w:tmpl w:val="F77A9C48"/>
    <w:lvl w:ilvl="0" w:tplc="9844FC0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4"/>
  </w:num>
  <w:num w:numId="3">
    <w:abstractNumId w:val="26"/>
  </w:num>
  <w:num w:numId="4">
    <w:abstractNumId w:val="11"/>
  </w:num>
  <w:num w:numId="5">
    <w:abstractNumId w:val="1"/>
  </w:num>
  <w:num w:numId="6">
    <w:abstractNumId w:val="2"/>
  </w:num>
  <w:num w:numId="7">
    <w:abstractNumId w:val="19"/>
  </w:num>
  <w:num w:numId="8">
    <w:abstractNumId w:val="22"/>
  </w:num>
  <w:num w:numId="9">
    <w:abstractNumId w:val="5"/>
  </w:num>
  <w:num w:numId="10">
    <w:abstractNumId w:val="8"/>
  </w:num>
  <w:num w:numId="11">
    <w:abstractNumId w:val="6"/>
  </w:num>
  <w:num w:numId="12">
    <w:abstractNumId w:val="13"/>
  </w:num>
  <w:num w:numId="13">
    <w:abstractNumId w:val="3"/>
  </w:num>
  <w:num w:numId="14">
    <w:abstractNumId w:val="27"/>
  </w:num>
  <w:num w:numId="15">
    <w:abstractNumId w:val="23"/>
  </w:num>
  <w:num w:numId="16">
    <w:abstractNumId w:val="24"/>
  </w:num>
  <w:num w:numId="17">
    <w:abstractNumId w:val="9"/>
  </w:num>
  <w:num w:numId="18">
    <w:abstractNumId w:val="12"/>
  </w:num>
  <w:num w:numId="19">
    <w:abstractNumId w:val="10"/>
  </w:num>
  <w:num w:numId="20">
    <w:abstractNumId w:val="16"/>
  </w:num>
  <w:num w:numId="21">
    <w:abstractNumId w:val="15"/>
  </w:num>
  <w:num w:numId="22">
    <w:abstractNumId w:val="17"/>
  </w:num>
  <w:num w:numId="23">
    <w:abstractNumId w:val="20"/>
  </w:num>
  <w:num w:numId="24">
    <w:abstractNumId w:val="25"/>
  </w:num>
  <w:num w:numId="25">
    <w:abstractNumId w:val="14"/>
  </w:num>
  <w:num w:numId="26">
    <w:abstractNumId w:val="18"/>
  </w:num>
  <w:num w:numId="27">
    <w:abstractNumId w:val="21"/>
  </w:num>
  <w:num w:numId="2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6146"/>
  </w:hdrShapeDefaults>
  <w:footnotePr>
    <w:footnote w:id="-1"/>
    <w:footnote w:id="0"/>
  </w:footnotePr>
  <w:endnotePr>
    <w:endnote w:id="-1"/>
    <w:endnote w:id="0"/>
  </w:endnotePr>
  <w:compat/>
  <w:rsids>
    <w:rsidRoot w:val="00D520DF"/>
    <w:rsid w:val="000032C7"/>
    <w:rsid w:val="00062E1A"/>
    <w:rsid w:val="000C746F"/>
    <w:rsid w:val="000D1A8F"/>
    <w:rsid w:val="000D2441"/>
    <w:rsid w:val="000F7586"/>
    <w:rsid w:val="00120CBB"/>
    <w:rsid w:val="00150A06"/>
    <w:rsid w:val="001B0B4F"/>
    <w:rsid w:val="001D017F"/>
    <w:rsid w:val="001D7ECF"/>
    <w:rsid w:val="002235E2"/>
    <w:rsid w:val="00230B73"/>
    <w:rsid w:val="00240D26"/>
    <w:rsid w:val="002575AC"/>
    <w:rsid w:val="00296848"/>
    <w:rsid w:val="002C3CFC"/>
    <w:rsid w:val="00303D29"/>
    <w:rsid w:val="003678C8"/>
    <w:rsid w:val="00367E55"/>
    <w:rsid w:val="00393068"/>
    <w:rsid w:val="00394D7E"/>
    <w:rsid w:val="00396B40"/>
    <w:rsid w:val="003A09EA"/>
    <w:rsid w:val="003A6E68"/>
    <w:rsid w:val="003C4783"/>
    <w:rsid w:val="004509B1"/>
    <w:rsid w:val="00583FC3"/>
    <w:rsid w:val="005A1486"/>
    <w:rsid w:val="005A49D6"/>
    <w:rsid w:val="005E4DE1"/>
    <w:rsid w:val="005F1D16"/>
    <w:rsid w:val="005F24E5"/>
    <w:rsid w:val="00633979"/>
    <w:rsid w:val="0069010A"/>
    <w:rsid w:val="006D18FB"/>
    <w:rsid w:val="007251B9"/>
    <w:rsid w:val="007377A8"/>
    <w:rsid w:val="00774A06"/>
    <w:rsid w:val="00780984"/>
    <w:rsid w:val="007A152A"/>
    <w:rsid w:val="007A4FDE"/>
    <w:rsid w:val="0082603A"/>
    <w:rsid w:val="00854302"/>
    <w:rsid w:val="00872FC2"/>
    <w:rsid w:val="0089281C"/>
    <w:rsid w:val="00896960"/>
    <w:rsid w:val="008C4EB6"/>
    <w:rsid w:val="00930129"/>
    <w:rsid w:val="00944575"/>
    <w:rsid w:val="00966E65"/>
    <w:rsid w:val="0097348B"/>
    <w:rsid w:val="009B26AF"/>
    <w:rsid w:val="00A42207"/>
    <w:rsid w:val="00A47BB5"/>
    <w:rsid w:val="00A62531"/>
    <w:rsid w:val="00A7070C"/>
    <w:rsid w:val="00B60A3B"/>
    <w:rsid w:val="00BE20DB"/>
    <w:rsid w:val="00C46AA7"/>
    <w:rsid w:val="00C62329"/>
    <w:rsid w:val="00C81D19"/>
    <w:rsid w:val="00C85235"/>
    <w:rsid w:val="00CC21A3"/>
    <w:rsid w:val="00CC619F"/>
    <w:rsid w:val="00D40B47"/>
    <w:rsid w:val="00D43E7F"/>
    <w:rsid w:val="00D520DF"/>
    <w:rsid w:val="00D52BB4"/>
    <w:rsid w:val="00D63464"/>
    <w:rsid w:val="00D77DEF"/>
    <w:rsid w:val="00DE4CA8"/>
    <w:rsid w:val="00E0475D"/>
    <w:rsid w:val="00E554BA"/>
    <w:rsid w:val="00E80A6D"/>
    <w:rsid w:val="00E87955"/>
    <w:rsid w:val="00EC1220"/>
    <w:rsid w:val="00ED0C4A"/>
    <w:rsid w:val="00F10458"/>
    <w:rsid w:val="00F12B72"/>
    <w:rsid w:val="00F25856"/>
    <w:rsid w:val="00F8196D"/>
    <w:rsid w:val="00FC69B4"/>
    <w:rsid w:val="00FD1956"/>
    <w:rsid w:val="00FE7DD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2"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3068"/>
  </w:style>
  <w:style w:type="paragraph" w:styleId="Heading2">
    <w:name w:val="heading 2"/>
    <w:basedOn w:val="Normal"/>
    <w:next w:val="Normal"/>
    <w:link w:val="Heading2Char"/>
    <w:qFormat/>
    <w:rsid w:val="00120CBB"/>
    <w:pPr>
      <w:spacing w:after="0" w:line="240" w:lineRule="auto"/>
      <w:ind w:left="270" w:hanging="270"/>
      <w:outlineLvl w:val="1"/>
    </w:pPr>
    <w:rPr>
      <w:rFonts w:ascii="Arial" w:eastAsia="Times New Roman" w:hAnsi="Arial" w:cs="Times New Roman"/>
      <w:snapToGrid w:val="0"/>
      <w:color w:val="00000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20CBB"/>
    <w:rPr>
      <w:rFonts w:ascii="Arial" w:eastAsia="Times New Roman" w:hAnsi="Arial" w:cs="Times New Roman"/>
      <w:snapToGrid w:val="0"/>
      <w:color w:val="000000"/>
      <w:sz w:val="32"/>
      <w:szCs w:val="20"/>
    </w:rPr>
  </w:style>
  <w:style w:type="paragraph" w:styleId="NormalWeb">
    <w:name w:val="Normal (Web)"/>
    <w:basedOn w:val="Normal"/>
    <w:uiPriority w:val="99"/>
    <w:rsid w:val="00120CB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20C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CBB"/>
    <w:rPr>
      <w:rFonts w:ascii="Tahoma" w:hAnsi="Tahoma" w:cs="Tahoma"/>
      <w:sz w:val="16"/>
      <w:szCs w:val="16"/>
    </w:rPr>
  </w:style>
  <w:style w:type="paragraph" w:styleId="ListParagraph">
    <w:name w:val="List Paragraph"/>
    <w:basedOn w:val="Normal"/>
    <w:uiPriority w:val="34"/>
    <w:qFormat/>
    <w:rsid w:val="005F24E5"/>
    <w:pPr>
      <w:ind w:left="720"/>
      <w:contextualSpacing/>
    </w:pPr>
  </w:style>
  <w:style w:type="character" w:styleId="Hyperlink">
    <w:name w:val="Hyperlink"/>
    <w:basedOn w:val="DefaultParagraphFont"/>
    <w:uiPriority w:val="99"/>
    <w:unhideWhenUsed/>
    <w:rsid w:val="005F24E5"/>
    <w:rPr>
      <w:color w:val="0000FF" w:themeColor="hyperlink"/>
      <w:u w:val="single"/>
    </w:rPr>
  </w:style>
  <w:style w:type="paragraph" w:styleId="Header">
    <w:name w:val="header"/>
    <w:basedOn w:val="Normal"/>
    <w:link w:val="HeaderChar"/>
    <w:uiPriority w:val="99"/>
    <w:semiHidden/>
    <w:unhideWhenUsed/>
    <w:rsid w:val="00774A0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74A06"/>
  </w:style>
  <w:style w:type="paragraph" w:styleId="Footer">
    <w:name w:val="footer"/>
    <w:basedOn w:val="Normal"/>
    <w:link w:val="FooterChar"/>
    <w:uiPriority w:val="99"/>
    <w:unhideWhenUsed/>
    <w:rsid w:val="00774A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4A06"/>
  </w:style>
</w:styles>
</file>

<file path=word/webSettings.xml><?xml version="1.0" encoding="utf-8"?>
<w:webSettings xmlns:r="http://schemas.openxmlformats.org/officeDocument/2006/relationships" xmlns:w="http://schemas.openxmlformats.org/wordprocessingml/2006/main">
  <w:divs>
    <w:div w:id="306128590">
      <w:bodyDiv w:val="1"/>
      <w:marLeft w:val="0"/>
      <w:marRight w:val="0"/>
      <w:marTop w:val="0"/>
      <w:marBottom w:val="0"/>
      <w:divBdr>
        <w:top w:val="none" w:sz="0" w:space="0" w:color="auto"/>
        <w:left w:val="none" w:sz="0" w:space="0" w:color="auto"/>
        <w:bottom w:val="none" w:sz="0" w:space="0" w:color="auto"/>
        <w:right w:val="none" w:sz="0" w:space="0" w:color="auto"/>
      </w:divBdr>
      <w:divsChild>
        <w:div w:id="1742360822">
          <w:marLeft w:val="0"/>
          <w:marRight w:val="0"/>
          <w:marTop w:val="0"/>
          <w:marBottom w:val="0"/>
          <w:divBdr>
            <w:top w:val="none" w:sz="0" w:space="0" w:color="auto"/>
            <w:left w:val="none" w:sz="0" w:space="0" w:color="auto"/>
            <w:bottom w:val="none" w:sz="0" w:space="0" w:color="auto"/>
            <w:right w:val="none" w:sz="0" w:space="0" w:color="auto"/>
          </w:divBdr>
          <w:divsChild>
            <w:div w:id="28312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urvey.vinu.edu/controller/"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37B36631DB14DD9A7782D1B11D8EB87"/>
        <w:category>
          <w:name w:val="General"/>
          <w:gallery w:val="placeholder"/>
        </w:category>
        <w:types>
          <w:type w:val="bbPlcHdr"/>
        </w:types>
        <w:behaviors>
          <w:behavior w:val="content"/>
        </w:behaviors>
        <w:guid w:val="{3EA6F996-02EB-475E-96AE-B4729EB93F82}"/>
      </w:docPartPr>
      <w:docPartBody>
        <w:p w:rsidR="00000000" w:rsidRDefault="00D53166" w:rsidP="00D53166">
          <w:pPr>
            <w:pStyle w:val="737B36631DB14DD9A7782D1B11D8EB87"/>
          </w:pPr>
          <w:r>
            <w:rPr>
              <w:rFonts w:asciiTheme="majorHAnsi" w:hAnsiTheme="majorHAnsi"/>
            </w:rPr>
            <w:t>[Type text]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53166"/>
    <w:rsid w:val="00CD6A65"/>
    <w:rsid w:val="00D531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6AC86C897E943B391E8A2BB27B5ED27">
    <w:name w:val="B6AC86C897E943B391E8A2BB27B5ED27"/>
    <w:rsid w:val="00D53166"/>
  </w:style>
  <w:style w:type="paragraph" w:customStyle="1" w:styleId="737B36631DB14DD9A7782D1B11D8EB87">
    <w:name w:val="737B36631DB14DD9A7782D1B11D8EB87"/>
    <w:rsid w:val="00D53166"/>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4E359-7FEB-45BC-B638-59AE88E71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6</Pages>
  <Words>1327</Words>
  <Characters>7566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Vincennes University</Company>
  <LinksUpToDate>false</LinksUpToDate>
  <CharactersWithSpaces>8876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dc:creator>
  <cp:lastModifiedBy>Windows User</cp:lastModifiedBy>
  <cp:revision>11</cp:revision>
  <cp:lastPrinted>2013-05-06T13:50:00Z</cp:lastPrinted>
  <dcterms:created xsi:type="dcterms:W3CDTF">2013-05-06T12:22:00Z</dcterms:created>
  <dcterms:modified xsi:type="dcterms:W3CDTF">2013-05-06T13:54:00Z</dcterms:modified>
</cp:coreProperties>
</file>